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EA" w:rsidRPr="00963014" w:rsidRDefault="00927B76" w:rsidP="00D81EB8">
      <w:pPr>
        <w:jc w:val="both"/>
      </w:pPr>
      <w:r>
        <w:rPr>
          <w:noProof/>
          <w:lang w:eastAsia="es-ES"/>
        </w:rPr>
        <w:drawing>
          <wp:anchor distT="0" distB="0" distL="114300" distR="114300" simplePos="0" relativeHeight="251657728" behindDoc="0" locked="0" layoutInCell="1" allowOverlap="1">
            <wp:simplePos x="0" y="0"/>
            <wp:positionH relativeFrom="column">
              <wp:posOffset>2071370</wp:posOffset>
            </wp:positionH>
            <wp:positionV relativeFrom="paragraph">
              <wp:posOffset>-478790</wp:posOffset>
            </wp:positionV>
            <wp:extent cx="1029970" cy="1025525"/>
            <wp:effectExtent l="19050" t="0" r="0" b="0"/>
            <wp:wrapSquare wrapText="bothSides"/>
            <wp:docPr id="2" name="0 Imagen" descr="Logo Fundación Botí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Fundación Botín.png"/>
                    <pic:cNvPicPr>
                      <a:picLocks noChangeAspect="1" noChangeArrowheads="1"/>
                    </pic:cNvPicPr>
                  </pic:nvPicPr>
                  <pic:blipFill>
                    <a:blip r:embed="rId6" cstate="print"/>
                    <a:srcRect/>
                    <a:stretch>
                      <a:fillRect/>
                    </a:stretch>
                  </pic:blipFill>
                  <pic:spPr bwMode="auto">
                    <a:xfrm>
                      <a:off x="0" y="0"/>
                      <a:ext cx="1029970" cy="1025525"/>
                    </a:xfrm>
                    <a:prstGeom prst="rect">
                      <a:avLst/>
                    </a:prstGeom>
                    <a:noFill/>
                    <a:ln w="9525">
                      <a:noFill/>
                      <a:miter lim="800000"/>
                      <a:headEnd/>
                      <a:tailEnd/>
                    </a:ln>
                  </pic:spPr>
                </pic:pic>
              </a:graphicData>
            </a:graphic>
          </wp:anchor>
        </w:drawing>
      </w:r>
    </w:p>
    <w:p w:rsidR="000859EA" w:rsidRPr="00963014" w:rsidRDefault="000859EA" w:rsidP="00D81EB8">
      <w:pPr>
        <w:jc w:val="both"/>
      </w:pPr>
    </w:p>
    <w:p w:rsidR="00254F99" w:rsidRPr="006F2D23" w:rsidRDefault="00254F99" w:rsidP="00254F99">
      <w:pPr>
        <w:pStyle w:val="Ttulo2"/>
        <w:shd w:val="clear" w:color="auto" w:fill="FFFFFF"/>
        <w:spacing w:before="0" w:beforeAutospacing="0" w:after="225" w:afterAutospacing="0" w:line="540" w:lineRule="atLeast"/>
        <w:jc w:val="center"/>
        <w:textAlignment w:val="baseline"/>
        <w:rPr>
          <w:rFonts w:ascii="Calibri" w:hAnsi="Calibri" w:cs="Calibri"/>
          <w:bCs w:val="0"/>
          <w:color w:val="C00000"/>
        </w:rPr>
      </w:pPr>
      <w:r w:rsidRPr="006F2D23">
        <w:rPr>
          <w:rFonts w:ascii="Calibri" w:hAnsi="Calibri" w:cs="Calibri"/>
          <w:bCs w:val="0"/>
          <w:color w:val="C00000"/>
        </w:rPr>
        <w:t xml:space="preserve">La Fundación Botín entrega los </w:t>
      </w:r>
      <w:r w:rsidR="00A41D5E">
        <w:rPr>
          <w:rFonts w:ascii="Calibri" w:hAnsi="Calibri" w:cs="Calibri"/>
          <w:bCs w:val="0"/>
          <w:color w:val="C00000"/>
        </w:rPr>
        <w:t>premios</w:t>
      </w:r>
      <w:r w:rsidRPr="006F2D23">
        <w:rPr>
          <w:rFonts w:ascii="Calibri" w:hAnsi="Calibri" w:cs="Calibri"/>
          <w:bCs w:val="0"/>
          <w:color w:val="C00000"/>
        </w:rPr>
        <w:t xml:space="preserve"> de la V</w:t>
      </w:r>
      <w:r w:rsidR="00586C7A">
        <w:rPr>
          <w:rFonts w:ascii="Calibri" w:hAnsi="Calibri" w:cs="Calibri"/>
          <w:bCs w:val="0"/>
          <w:color w:val="C00000"/>
        </w:rPr>
        <w:t>I</w:t>
      </w:r>
      <w:r w:rsidRPr="006F2D23">
        <w:rPr>
          <w:rFonts w:ascii="Calibri" w:hAnsi="Calibri" w:cs="Calibri"/>
          <w:bCs w:val="0"/>
          <w:color w:val="C00000"/>
        </w:rPr>
        <w:t xml:space="preserve"> edición del Programa de Iniciativas Empresariales NANSAEMPRENDE</w:t>
      </w:r>
    </w:p>
    <w:p w:rsidR="00B34C02" w:rsidRDefault="00B34C02" w:rsidP="00254F99">
      <w:pPr>
        <w:numPr>
          <w:ilvl w:val="0"/>
          <w:numId w:val="6"/>
        </w:numPr>
        <w:spacing w:before="60" w:after="60"/>
        <w:contextualSpacing/>
        <w:jc w:val="both"/>
        <w:rPr>
          <w:rFonts w:eastAsia="Times New Roman" w:cs="Arial"/>
          <w:b/>
          <w:bCs/>
          <w:lang w:eastAsia="es-ES"/>
        </w:rPr>
      </w:pPr>
      <w:r w:rsidRPr="00B34C02">
        <w:rPr>
          <w:rFonts w:eastAsia="Times New Roman" w:cs="Arial"/>
          <w:b/>
          <w:bCs/>
          <w:lang w:eastAsia="es-ES"/>
        </w:rPr>
        <w:t>NANSAEMPRENDE pretende promocionar el tejido empresarial y estimular el emprendimiento en el Valle del Nansa y Peñarrubia, así como en  las comarcas del Saja y Liébana.</w:t>
      </w:r>
    </w:p>
    <w:p w:rsidR="00B34C02" w:rsidRDefault="00B34C02" w:rsidP="00B34C02">
      <w:pPr>
        <w:spacing w:before="60" w:after="60"/>
        <w:ind w:left="360"/>
        <w:contextualSpacing/>
        <w:jc w:val="both"/>
        <w:rPr>
          <w:rFonts w:eastAsia="Times New Roman" w:cs="Arial"/>
          <w:b/>
          <w:bCs/>
          <w:lang w:eastAsia="es-ES"/>
        </w:rPr>
      </w:pPr>
    </w:p>
    <w:p w:rsidR="00254F99" w:rsidRDefault="00A41D5E" w:rsidP="00254F99">
      <w:pPr>
        <w:numPr>
          <w:ilvl w:val="0"/>
          <w:numId w:val="6"/>
        </w:numPr>
        <w:spacing w:before="60" w:after="60"/>
        <w:contextualSpacing/>
        <w:jc w:val="both"/>
        <w:rPr>
          <w:rFonts w:eastAsia="Times New Roman" w:cs="Arial"/>
          <w:b/>
          <w:bCs/>
          <w:lang w:eastAsia="es-ES"/>
        </w:rPr>
      </w:pPr>
      <w:r>
        <w:rPr>
          <w:rFonts w:eastAsia="Times New Roman" w:cs="Arial"/>
          <w:b/>
          <w:bCs/>
          <w:lang w:eastAsia="es-ES"/>
        </w:rPr>
        <w:t xml:space="preserve">Los </w:t>
      </w:r>
      <w:r w:rsidR="00586C7A">
        <w:rPr>
          <w:rFonts w:eastAsia="Times New Roman" w:cs="Arial"/>
          <w:b/>
          <w:bCs/>
          <w:lang w:eastAsia="es-ES"/>
        </w:rPr>
        <w:t xml:space="preserve"> </w:t>
      </w:r>
      <w:r>
        <w:rPr>
          <w:rFonts w:eastAsia="Times New Roman" w:cs="Arial"/>
          <w:b/>
          <w:bCs/>
          <w:lang w:eastAsia="es-ES"/>
        </w:rPr>
        <w:t>proyectos</w:t>
      </w:r>
      <w:r w:rsidR="00DD3929">
        <w:rPr>
          <w:rFonts w:eastAsia="Times New Roman" w:cs="Arial"/>
          <w:b/>
          <w:bCs/>
          <w:lang w:eastAsia="es-ES"/>
        </w:rPr>
        <w:t xml:space="preserve"> que han pasado a la final tendrán acceso a</w:t>
      </w:r>
      <w:r w:rsidR="008A03B9" w:rsidRPr="001F6161">
        <w:rPr>
          <w:rFonts w:eastAsia="Times New Roman" w:cs="Arial"/>
          <w:b/>
          <w:bCs/>
          <w:lang w:eastAsia="es-ES"/>
        </w:rPr>
        <w:t xml:space="preserve"> un completo Programa de Apoyo al Emprendimiento</w:t>
      </w:r>
      <w:r w:rsidR="00DD3929">
        <w:rPr>
          <w:rFonts w:eastAsia="Times New Roman" w:cs="Arial"/>
          <w:b/>
          <w:bCs/>
          <w:lang w:eastAsia="es-ES"/>
        </w:rPr>
        <w:t>. De ellos, cuatro</w:t>
      </w:r>
      <w:r w:rsidR="00254F99" w:rsidRPr="001F6161">
        <w:rPr>
          <w:rFonts w:eastAsia="Times New Roman" w:cs="Arial"/>
          <w:b/>
          <w:bCs/>
          <w:lang w:eastAsia="es-ES"/>
        </w:rPr>
        <w:t xml:space="preserve"> percibirán ayudas a modo de </w:t>
      </w:r>
      <w:r w:rsidR="00254F99" w:rsidRPr="001F6161">
        <w:rPr>
          <w:rFonts w:eastAsia="Times New Roman" w:cs="Arial"/>
          <w:b/>
          <w:bCs/>
          <w:i/>
          <w:lang w:eastAsia="es-ES"/>
        </w:rPr>
        <w:t>capital semilla</w:t>
      </w:r>
      <w:r w:rsidR="00DD3929">
        <w:rPr>
          <w:rFonts w:eastAsia="Times New Roman" w:cs="Arial"/>
          <w:b/>
          <w:bCs/>
          <w:lang w:eastAsia="es-ES"/>
        </w:rPr>
        <w:t>.</w:t>
      </w:r>
    </w:p>
    <w:p w:rsidR="00B34C02" w:rsidRPr="001F6161" w:rsidRDefault="00B34C02" w:rsidP="00B34C02">
      <w:pPr>
        <w:spacing w:before="60" w:after="60"/>
        <w:ind w:left="360"/>
        <w:contextualSpacing/>
        <w:jc w:val="both"/>
        <w:rPr>
          <w:rFonts w:eastAsia="Times New Roman" w:cs="Arial"/>
          <w:b/>
          <w:bCs/>
          <w:lang w:eastAsia="es-ES"/>
        </w:rPr>
      </w:pPr>
    </w:p>
    <w:p w:rsidR="007309D4" w:rsidRDefault="007309D4" w:rsidP="007309D4">
      <w:pPr>
        <w:numPr>
          <w:ilvl w:val="0"/>
          <w:numId w:val="6"/>
        </w:numPr>
        <w:spacing w:before="60" w:after="60"/>
        <w:contextualSpacing/>
        <w:jc w:val="both"/>
        <w:rPr>
          <w:rFonts w:eastAsia="Times New Roman" w:cs="Arial"/>
          <w:b/>
          <w:bCs/>
          <w:lang w:eastAsia="es-ES"/>
        </w:rPr>
      </w:pPr>
      <w:r w:rsidRPr="007309D4">
        <w:rPr>
          <w:rFonts w:eastAsia="Times New Roman" w:cs="Arial"/>
          <w:b/>
          <w:bCs/>
          <w:lang w:eastAsia="es-ES"/>
        </w:rPr>
        <w:t xml:space="preserve">Desde la creación del programa en 2011, </w:t>
      </w:r>
      <w:r w:rsidR="00586C7A">
        <w:rPr>
          <w:rFonts w:eastAsia="Times New Roman" w:cs="Arial"/>
          <w:b/>
          <w:bCs/>
          <w:lang w:eastAsia="es-ES"/>
        </w:rPr>
        <w:t>30 iniciativas empresariales</w:t>
      </w:r>
      <w:r w:rsidRPr="007309D4">
        <w:rPr>
          <w:rFonts w:eastAsia="Times New Roman" w:cs="Arial"/>
          <w:b/>
          <w:bCs/>
          <w:lang w:eastAsia="es-ES"/>
        </w:rPr>
        <w:t xml:space="preserve"> funcionan con éxito</w:t>
      </w:r>
      <w:r w:rsidR="00B34C02">
        <w:rPr>
          <w:rFonts w:eastAsia="Times New Roman" w:cs="Arial"/>
          <w:b/>
          <w:bCs/>
          <w:lang w:eastAsia="es-ES"/>
        </w:rPr>
        <w:t xml:space="preserve"> y</w:t>
      </w:r>
      <w:r w:rsidRPr="007309D4">
        <w:rPr>
          <w:rFonts w:eastAsia="Times New Roman" w:cs="Arial"/>
          <w:b/>
          <w:bCs/>
          <w:lang w:eastAsia="es-ES"/>
        </w:rPr>
        <w:t xml:space="preserve"> se</w:t>
      </w:r>
      <w:r w:rsidR="00586C7A">
        <w:rPr>
          <w:rFonts w:eastAsia="Times New Roman" w:cs="Arial"/>
          <w:b/>
          <w:bCs/>
          <w:lang w:eastAsia="es-ES"/>
        </w:rPr>
        <w:t xml:space="preserve"> contin</w:t>
      </w:r>
      <w:r w:rsidR="002412E2">
        <w:rPr>
          <w:rFonts w:eastAsia="Times New Roman" w:cs="Arial"/>
          <w:b/>
          <w:bCs/>
          <w:lang w:eastAsia="es-ES"/>
        </w:rPr>
        <w:t>ú</w:t>
      </w:r>
      <w:r w:rsidR="00586C7A">
        <w:rPr>
          <w:rFonts w:eastAsia="Times New Roman" w:cs="Arial"/>
          <w:b/>
          <w:bCs/>
          <w:lang w:eastAsia="es-ES"/>
        </w:rPr>
        <w:t xml:space="preserve">a generando riqueza y empleo en </w:t>
      </w:r>
      <w:r w:rsidR="00CC6D31">
        <w:rPr>
          <w:rFonts w:eastAsia="Times New Roman" w:cs="Arial"/>
          <w:b/>
          <w:bCs/>
          <w:lang w:eastAsia="es-ES"/>
        </w:rPr>
        <w:t>los t</w:t>
      </w:r>
      <w:r w:rsidR="006E6EBF">
        <w:rPr>
          <w:rFonts w:eastAsia="Times New Roman" w:cs="Arial"/>
          <w:b/>
          <w:bCs/>
          <w:lang w:eastAsia="es-ES"/>
        </w:rPr>
        <w:t xml:space="preserve">erritorios </w:t>
      </w:r>
      <w:r w:rsidR="002412E2">
        <w:rPr>
          <w:rFonts w:eastAsia="Times New Roman" w:cs="Arial"/>
          <w:b/>
          <w:bCs/>
          <w:lang w:eastAsia="es-ES"/>
        </w:rPr>
        <w:t xml:space="preserve">las </w:t>
      </w:r>
      <w:r w:rsidR="002412E2" w:rsidRPr="00066B92">
        <w:rPr>
          <w:rFonts w:eastAsia="Times New Roman" w:cs="Arial"/>
          <w:b/>
          <w:bCs/>
          <w:lang w:eastAsia="es-ES"/>
        </w:rPr>
        <w:t>zonas rurales</w:t>
      </w:r>
      <w:r w:rsidR="00066B92" w:rsidRPr="00066B92">
        <w:rPr>
          <w:rFonts w:eastAsia="Times New Roman" w:cs="Arial"/>
          <w:b/>
          <w:bCs/>
          <w:lang w:eastAsia="es-ES"/>
        </w:rPr>
        <w:t>.</w:t>
      </w:r>
    </w:p>
    <w:p w:rsidR="00B34C02" w:rsidRDefault="00B34C02" w:rsidP="00B34C02">
      <w:pPr>
        <w:spacing w:before="60" w:after="60"/>
        <w:ind w:left="360"/>
        <w:contextualSpacing/>
        <w:jc w:val="both"/>
        <w:rPr>
          <w:rFonts w:eastAsia="Times New Roman" w:cs="Arial"/>
          <w:b/>
          <w:bCs/>
          <w:lang w:eastAsia="es-ES"/>
        </w:rPr>
      </w:pPr>
    </w:p>
    <w:p w:rsidR="007309D4" w:rsidRPr="006F2D23" w:rsidRDefault="00586C7A" w:rsidP="007309D4">
      <w:pPr>
        <w:numPr>
          <w:ilvl w:val="0"/>
          <w:numId w:val="6"/>
        </w:numPr>
        <w:spacing w:before="60" w:after="60"/>
        <w:contextualSpacing/>
        <w:jc w:val="both"/>
        <w:rPr>
          <w:rFonts w:eastAsia="Times New Roman" w:cs="Arial"/>
        </w:rPr>
      </w:pPr>
      <w:r>
        <w:rPr>
          <w:rFonts w:eastAsia="Times New Roman" w:cs="Arial"/>
          <w:b/>
          <w:bCs/>
          <w:lang w:eastAsia="es-ES"/>
        </w:rPr>
        <w:t xml:space="preserve">En </w:t>
      </w:r>
      <w:r w:rsidR="00B34C02">
        <w:rPr>
          <w:rFonts w:eastAsia="Times New Roman" w:cs="Arial"/>
          <w:b/>
          <w:bCs/>
          <w:lang w:eastAsia="es-ES"/>
        </w:rPr>
        <w:t>est</w:t>
      </w:r>
      <w:r>
        <w:rPr>
          <w:rFonts w:eastAsia="Times New Roman" w:cs="Arial"/>
          <w:b/>
          <w:bCs/>
          <w:lang w:eastAsia="es-ES"/>
        </w:rPr>
        <w:t xml:space="preserve">a última edición comenzaron el </w:t>
      </w:r>
      <w:r w:rsidR="00B34C02">
        <w:rPr>
          <w:rFonts w:eastAsia="Times New Roman" w:cs="Arial"/>
          <w:b/>
          <w:bCs/>
          <w:lang w:eastAsia="es-ES"/>
        </w:rPr>
        <w:t>c</w:t>
      </w:r>
      <w:r>
        <w:rPr>
          <w:rFonts w:eastAsia="Times New Roman" w:cs="Arial"/>
          <w:b/>
          <w:bCs/>
          <w:lang w:eastAsia="es-ES"/>
        </w:rPr>
        <w:t xml:space="preserve">iclo </w:t>
      </w:r>
      <w:r w:rsidR="00B34C02">
        <w:rPr>
          <w:rFonts w:eastAsia="Times New Roman" w:cs="Arial"/>
          <w:b/>
          <w:bCs/>
          <w:lang w:eastAsia="es-ES"/>
        </w:rPr>
        <w:t>formativo</w:t>
      </w:r>
      <w:r>
        <w:rPr>
          <w:rFonts w:eastAsia="Times New Roman" w:cs="Arial"/>
          <w:b/>
          <w:bCs/>
          <w:lang w:eastAsia="es-ES"/>
        </w:rPr>
        <w:t xml:space="preserve"> 37 emprendedores</w:t>
      </w:r>
      <w:r w:rsidR="00B34C02">
        <w:rPr>
          <w:rFonts w:eastAsia="Times New Roman" w:cs="Arial"/>
          <w:b/>
          <w:bCs/>
          <w:lang w:eastAsia="es-ES"/>
        </w:rPr>
        <w:t xml:space="preserve"> que</w:t>
      </w:r>
      <w:r>
        <w:rPr>
          <w:rFonts w:eastAsia="Times New Roman" w:cs="Arial"/>
          <w:b/>
          <w:bCs/>
          <w:lang w:eastAsia="es-ES"/>
        </w:rPr>
        <w:t xml:space="preserve"> representa</w:t>
      </w:r>
      <w:r w:rsidR="00B34C02">
        <w:rPr>
          <w:rFonts w:eastAsia="Times New Roman" w:cs="Arial"/>
          <w:b/>
          <w:bCs/>
          <w:lang w:eastAsia="es-ES"/>
        </w:rPr>
        <w:t>ban</w:t>
      </w:r>
      <w:r>
        <w:rPr>
          <w:rFonts w:eastAsia="Times New Roman" w:cs="Arial"/>
          <w:b/>
          <w:bCs/>
          <w:lang w:eastAsia="es-ES"/>
        </w:rPr>
        <w:t xml:space="preserve"> 23 Proyectos Empresariales a desarrollar en el </w:t>
      </w:r>
      <w:r w:rsidR="00CC6D31">
        <w:rPr>
          <w:rFonts w:eastAsia="Times New Roman" w:cs="Arial"/>
          <w:b/>
          <w:bCs/>
          <w:lang w:eastAsia="es-ES"/>
        </w:rPr>
        <w:t>m</w:t>
      </w:r>
      <w:r>
        <w:rPr>
          <w:rFonts w:eastAsia="Times New Roman" w:cs="Arial"/>
          <w:b/>
          <w:bCs/>
          <w:lang w:eastAsia="es-ES"/>
        </w:rPr>
        <w:t xml:space="preserve">edio </w:t>
      </w:r>
      <w:r w:rsidR="00CC6D31">
        <w:rPr>
          <w:rFonts w:eastAsia="Times New Roman" w:cs="Arial"/>
          <w:b/>
          <w:bCs/>
          <w:lang w:eastAsia="es-ES"/>
        </w:rPr>
        <w:t>r</w:t>
      </w:r>
      <w:r>
        <w:rPr>
          <w:rFonts w:eastAsia="Times New Roman" w:cs="Arial"/>
          <w:b/>
          <w:bCs/>
          <w:lang w:eastAsia="es-ES"/>
        </w:rPr>
        <w:t>ural</w:t>
      </w:r>
      <w:r w:rsidR="00B34C02">
        <w:rPr>
          <w:rFonts w:eastAsia="Times New Roman" w:cs="Arial"/>
          <w:b/>
          <w:bCs/>
          <w:lang w:eastAsia="es-ES"/>
        </w:rPr>
        <w:t>, unos</w:t>
      </w:r>
      <w:r>
        <w:rPr>
          <w:rFonts w:eastAsia="Times New Roman" w:cs="Arial"/>
          <w:b/>
          <w:bCs/>
          <w:lang w:eastAsia="es-ES"/>
        </w:rPr>
        <w:t xml:space="preserve"> números </w:t>
      </w:r>
      <w:r w:rsidR="00B34C02">
        <w:rPr>
          <w:rFonts w:eastAsia="Times New Roman" w:cs="Arial"/>
          <w:b/>
          <w:bCs/>
          <w:lang w:eastAsia="es-ES"/>
        </w:rPr>
        <w:t xml:space="preserve">que </w:t>
      </w:r>
      <w:r w:rsidR="007309D4" w:rsidRPr="007309D4">
        <w:rPr>
          <w:rFonts w:eastAsia="Times New Roman" w:cs="Arial"/>
          <w:b/>
          <w:bCs/>
          <w:lang w:eastAsia="es-ES"/>
        </w:rPr>
        <w:t>reflej</w:t>
      </w:r>
      <w:r w:rsidR="00B34C02">
        <w:rPr>
          <w:rFonts w:eastAsia="Times New Roman" w:cs="Arial"/>
          <w:b/>
          <w:bCs/>
          <w:lang w:eastAsia="es-ES"/>
        </w:rPr>
        <w:t>an</w:t>
      </w:r>
      <w:r w:rsidR="007309D4" w:rsidRPr="007309D4">
        <w:rPr>
          <w:rFonts w:eastAsia="Times New Roman" w:cs="Arial"/>
          <w:b/>
          <w:bCs/>
          <w:lang w:eastAsia="es-ES"/>
        </w:rPr>
        <w:t xml:space="preserve"> la buena aceptación y el incentivo al emprendimiento de la iniciativa</w:t>
      </w:r>
      <w:r w:rsidR="00495999" w:rsidRPr="006F2D23">
        <w:rPr>
          <w:rFonts w:eastAsia="Times New Roman" w:cs="Arial"/>
          <w:b/>
          <w:bCs/>
          <w:lang w:eastAsia="es-ES"/>
        </w:rPr>
        <w:t>.</w:t>
      </w:r>
    </w:p>
    <w:p w:rsidR="007309D4" w:rsidRPr="006F2D23" w:rsidRDefault="007309D4" w:rsidP="007309D4">
      <w:pPr>
        <w:spacing w:before="60" w:after="60"/>
        <w:ind w:left="360"/>
        <w:contextualSpacing/>
        <w:jc w:val="both"/>
        <w:rPr>
          <w:rFonts w:eastAsia="Times New Roman" w:cs="Arial"/>
          <w:sz w:val="32"/>
        </w:rPr>
      </w:pPr>
    </w:p>
    <w:p w:rsidR="00B34C02" w:rsidRDefault="0092515E" w:rsidP="006F2D23">
      <w:pPr>
        <w:spacing w:line="240" w:lineRule="auto"/>
        <w:jc w:val="both"/>
      </w:pPr>
      <w:r w:rsidRPr="00714266">
        <w:rPr>
          <w:i/>
        </w:rPr>
        <w:t xml:space="preserve">Santander, </w:t>
      </w:r>
      <w:r w:rsidR="00586C7A">
        <w:rPr>
          <w:i/>
        </w:rPr>
        <w:t>4</w:t>
      </w:r>
      <w:r w:rsidR="00586C7A" w:rsidRPr="00714266">
        <w:rPr>
          <w:i/>
        </w:rPr>
        <w:t xml:space="preserve"> </w:t>
      </w:r>
      <w:r w:rsidRPr="00714266">
        <w:rPr>
          <w:i/>
        </w:rPr>
        <w:t xml:space="preserve">de </w:t>
      </w:r>
      <w:r w:rsidRPr="00FF3966">
        <w:rPr>
          <w:i/>
        </w:rPr>
        <w:t xml:space="preserve">octubre de </w:t>
      </w:r>
      <w:r w:rsidR="00586C7A" w:rsidRPr="00FF3966">
        <w:rPr>
          <w:i/>
        </w:rPr>
        <w:t>201</w:t>
      </w:r>
      <w:r w:rsidR="00586C7A">
        <w:rPr>
          <w:i/>
        </w:rPr>
        <w:t>7</w:t>
      </w:r>
      <w:r w:rsidRPr="00FF3966">
        <w:rPr>
          <w:i/>
        </w:rPr>
        <w:t xml:space="preserve">.- </w:t>
      </w:r>
      <w:r w:rsidRPr="00FF3966">
        <w:t xml:space="preserve"> La Fundación Botín </w:t>
      </w:r>
      <w:r w:rsidR="006F2D23" w:rsidRPr="00FF3966">
        <w:t>ha</w:t>
      </w:r>
      <w:r w:rsidR="00FF3966" w:rsidRPr="00FF3966">
        <w:t xml:space="preserve"> dado a conocer esta tarde los ganadores de la </w:t>
      </w:r>
      <w:r w:rsidR="00FF3966" w:rsidRPr="0005226E">
        <w:rPr>
          <w:b/>
        </w:rPr>
        <w:t>V</w:t>
      </w:r>
      <w:r w:rsidR="00586C7A">
        <w:rPr>
          <w:b/>
        </w:rPr>
        <w:t>I</w:t>
      </w:r>
      <w:r w:rsidRPr="0005226E">
        <w:rPr>
          <w:b/>
        </w:rPr>
        <w:t xml:space="preserve"> </w:t>
      </w:r>
      <w:r w:rsidR="00FF3966" w:rsidRPr="0005226E">
        <w:rPr>
          <w:b/>
        </w:rPr>
        <w:t>e</w:t>
      </w:r>
      <w:r w:rsidRPr="0005226E">
        <w:rPr>
          <w:b/>
        </w:rPr>
        <w:t>dición</w:t>
      </w:r>
      <w:r w:rsidRPr="00FF3966">
        <w:rPr>
          <w:b/>
        </w:rPr>
        <w:t xml:space="preserve"> de</w:t>
      </w:r>
      <w:r w:rsidR="00D26945" w:rsidRPr="00FF3966">
        <w:rPr>
          <w:b/>
        </w:rPr>
        <w:t xml:space="preserve"> su </w:t>
      </w:r>
      <w:r w:rsidR="00FF3966" w:rsidRPr="00FF3966">
        <w:rPr>
          <w:b/>
        </w:rPr>
        <w:t>p</w:t>
      </w:r>
      <w:r w:rsidR="00D26945" w:rsidRPr="00FF3966">
        <w:rPr>
          <w:b/>
        </w:rPr>
        <w:t xml:space="preserve">rograma </w:t>
      </w:r>
      <w:r w:rsidR="00CF0331" w:rsidRPr="00FF3966">
        <w:rPr>
          <w:b/>
        </w:rPr>
        <w:t xml:space="preserve">para el </w:t>
      </w:r>
      <w:r w:rsidR="00FF3966" w:rsidRPr="00FF3966">
        <w:rPr>
          <w:b/>
        </w:rPr>
        <w:t>f</w:t>
      </w:r>
      <w:r w:rsidR="00CF0331" w:rsidRPr="00FF3966">
        <w:rPr>
          <w:b/>
        </w:rPr>
        <w:t xml:space="preserve">omento de las </w:t>
      </w:r>
      <w:r w:rsidR="00FF3966" w:rsidRPr="00FF3966">
        <w:rPr>
          <w:b/>
        </w:rPr>
        <w:t>i</w:t>
      </w:r>
      <w:r w:rsidR="00CF0331" w:rsidRPr="00FF3966">
        <w:rPr>
          <w:b/>
        </w:rPr>
        <w:t xml:space="preserve">niciativas </w:t>
      </w:r>
      <w:r w:rsidR="00FF3966" w:rsidRPr="00FF3966">
        <w:rPr>
          <w:b/>
        </w:rPr>
        <w:t>e</w:t>
      </w:r>
      <w:r w:rsidR="00CF0331" w:rsidRPr="00FF3966">
        <w:rPr>
          <w:b/>
        </w:rPr>
        <w:t xml:space="preserve">mpresariales en el </w:t>
      </w:r>
      <w:r w:rsidR="00FF3966" w:rsidRPr="00FF3966">
        <w:rPr>
          <w:b/>
        </w:rPr>
        <w:t>m</w:t>
      </w:r>
      <w:r w:rsidR="00CF0331" w:rsidRPr="00FF3966">
        <w:rPr>
          <w:b/>
        </w:rPr>
        <w:t xml:space="preserve">edio </w:t>
      </w:r>
      <w:r w:rsidR="00FF3966" w:rsidRPr="00FF3966">
        <w:rPr>
          <w:b/>
        </w:rPr>
        <w:t>r</w:t>
      </w:r>
      <w:r w:rsidR="00CF0331" w:rsidRPr="00FF3966">
        <w:rPr>
          <w:b/>
        </w:rPr>
        <w:t>ural</w:t>
      </w:r>
      <w:r w:rsidR="00FF3966" w:rsidRPr="00FF3966">
        <w:rPr>
          <w:b/>
        </w:rPr>
        <w:t>:</w:t>
      </w:r>
      <w:r w:rsidR="006F2D23" w:rsidRPr="00FF3966">
        <w:rPr>
          <w:b/>
        </w:rPr>
        <w:t xml:space="preserve"> </w:t>
      </w:r>
      <w:r w:rsidRPr="00FF3966">
        <w:rPr>
          <w:b/>
        </w:rPr>
        <w:t>NANSAEMPRENDE.</w:t>
      </w:r>
      <w:r w:rsidRPr="00FF3966">
        <w:t xml:space="preserve"> </w:t>
      </w:r>
      <w:r w:rsidR="006F2D23" w:rsidRPr="00FF3966">
        <w:t>E</w:t>
      </w:r>
      <w:r w:rsidR="00D26945" w:rsidRPr="00FF3966">
        <w:t>ste año los proyectos</w:t>
      </w:r>
      <w:r w:rsidR="00FF3966" w:rsidRPr="00FF3966">
        <w:t xml:space="preserve"> que han participado</w:t>
      </w:r>
      <w:r w:rsidR="000C21AA" w:rsidRPr="00FF3966">
        <w:t xml:space="preserve"> </w:t>
      </w:r>
      <w:r w:rsidR="002E24B1" w:rsidRPr="00FF3966">
        <w:t>se enmarcan en las áreas de turismo rural, restauración, artesanía,</w:t>
      </w:r>
      <w:r w:rsidR="00FF3966" w:rsidRPr="00FF3966">
        <w:t xml:space="preserve"> </w:t>
      </w:r>
      <w:r w:rsidR="00702D87" w:rsidRPr="00FF3966">
        <w:t>tecnol</w:t>
      </w:r>
      <w:r w:rsidR="00FF3966" w:rsidRPr="00FF3966">
        <w:t>ogía</w:t>
      </w:r>
      <w:r w:rsidR="00702D87" w:rsidRPr="00FF3966">
        <w:t>, ser</w:t>
      </w:r>
      <w:r w:rsidR="00B34C02">
        <w:t>vicios para la población rural,</w:t>
      </w:r>
      <w:r w:rsidR="00FF3966" w:rsidRPr="00FF3966">
        <w:t xml:space="preserve"> </w:t>
      </w:r>
      <w:r w:rsidR="002E24B1" w:rsidRPr="00FF3966">
        <w:t>agricultura ecológica y peque</w:t>
      </w:r>
      <w:r w:rsidR="00FF3966" w:rsidRPr="00FF3966">
        <w:t>ñas industrias agroalimentarias, entre otras</w:t>
      </w:r>
      <w:r w:rsidR="002E24B1" w:rsidRPr="00FF3966">
        <w:t>.</w:t>
      </w:r>
      <w:r w:rsidR="00D26945" w:rsidRPr="00FF3966">
        <w:t xml:space="preserve"> </w:t>
      </w:r>
    </w:p>
    <w:p w:rsidR="00542243" w:rsidRDefault="00542243" w:rsidP="00542243">
      <w:r>
        <w:t xml:space="preserve">El acto de entrega de galardones ha tenido lugar esta tarde en la Casa Rectoral de Puente Pumar (Polaciones), </w:t>
      </w:r>
      <w:r w:rsidRPr="00542243">
        <w:t xml:space="preserve">conto con la  intervención del Director de la Escuela de Negocio del Pirineo   que ha expuesto  interesantes ideas de negocios,  con un gran componente tecnológico, que están desarrollando en el en aquel Territorio, haciendo  hincapié en la necesidad de que los emprendedores rurales están en contacto pese a la distancia pues existen muchas sinergias. Además </w:t>
      </w:r>
      <w:r>
        <w:t>han participado el director general de Ganadería y Desarrollo Rural del Gobierno de Cantabria, Miguel Ángel Cuevas; el alcalde de Rionansa, Pedro González Olcoz; Carmen Fernández, gerente de la ADL Saja Nansa; el director del programa de Desarrollo Rural, Patrimonio y Territorio, Jose María Ballester; representantes de CEOE-CEPYME, los miembros del Comité de Evaluación (</w:t>
      </w:r>
      <w:r w:rsidRPr="00542243">
        <w:t xml:space="preserve">Isabel Cuesta Rodríguez, vicesecretaria general de la Cámara de Comercio de Cantabria; Pedro Ortiz </w:t>
      </w:r>
      <w:proofErr w:type="spellStart"/>
      <w:r w:rsidRPr="00542243">
        <w:t>Ortiz</w:t>
      </w:r>
      <w:proofErr w:type="spellEnd"/>
      <w:r w:rsidRPr="00542243">
        <w:t xml:space="preserve"> Presidente del Grupo </w:t>
      </w:r>
      <w:proofErr w:type="spellStart"/>
      <w:r w:rsidRPr="00542243">
        <w:t>PitmA</w:t>
      </w:r>
      <w:proofErr w:type="spellEnd"/>
      <w:r w:rsidRPr="00542243">
        <w:t>, Fernando Bolívar, Aurelio García Director de la Escuela de Negocio del Pirineo)</w:t>
      </w:r>
      <w:r>
        <w:rPr>
          <w:color w:val="FF0000"/>
        </w:rPr>
        <w:t xml:space="preserve"> </w:t>
      </w:r>
      <w:r>
        <w:t xml:space="preserve"> y emprendedores de otras ediciones, fundamentalmente.</w:t>
      </w:r>
    </w:p>
    <w:p w:rsidR="00486EB6" w:rsidRDefault="00486EB6" w:rsidP="00486EB6">
      <w:pPr>
        <w:spacing w:line="240" w:lineRule="auto"/>
        <w:jc w:val="both"/>
      </w:pPr>
      <w:r>
        <w:t xml:space="preserve">. </w:t>
      </w:r>
    </w:p>
    <w:p w:rsidR="004D5680" w:rsidRDefault="00A91FDC" w:rsidP="004D5680">
      <w:pPr>
        <w:jc w:val="both"/>
      </w:pPr>
      <w:r w:rsidRPr="0005226E">
        <w:rPr>
          <w:b/>
        </w:rPr>
        <w:lastRenderedPageBreak/>
        <w:t xml:space="preserve">De los </w:t>
      </w:r>
      <w:r w:rsidR="00C57C5A">
        <w:rPr>
          <w:b/>
        </w:rPr>
        <w:t>veintitrés</w:t>
      </w:r>
      <w:r w:rsidR="00586C7A" w:rsidRPr="0005226E">
        <w:rPr>
          <w:b/>
        </w:rPr>
        <w:t xml:space="preserve"> </w:t>
      </w:r>
      <w:r w:rsidRPr="0005226E">
        <w:rPr>
          <w:b/>
        </w:rPr>
        <w:t xml:space="preserve">proyectos que han participado </w:t>
      </w:r>
      <w:r w:rsidRPr="006E6EBF">
        <w:rPr>
          <w:b/>
        </w:rPr>
        <w:t xml:space="preserve">en </w:t>
      </w:r>
      <w:r w:rsidR="00066B92" w:rsidRPr="00066B92">
        <w:rPr>
          <w:b/>
        </w:rPr>
        <w:t>esta edición,</w:t>
      </w:r>
      <w:r w:rsidR="006E6EBF">
        <w:rPr>
          <w:b/>
        </w:rPr>
        <w:t xml:space="preserve"> se presentaron 12 finalistas</w:t>
      </w:r>
      <w:r w:rsidR="00DE5D77" w:rsidRPr="00EF6904">
        <w:rPr>
          <w:b/>
        </w:rPr>
        <w:t xml:space="preserve"> y</w:t>
      </w:r>
      <w:r w:rsidR="00B34C02">
        <w:rPr>
          <w:b/>
        </w:rPr>
        <w:t>,</w:t>
      </w:r>
      <w:r w:rsidR="00DE5D77" w:rsidRPr="00EF6904">
        <w:rPr>
          <w:b/>
        </w:rPr>
        <w:t xml:space="preserve"> ante la calidad de sus propuestas, el Comité de Evaluación ha decidido </w:t>
      </w:r>
      <w:r w:rsidR="00922927" w:rsidRPr="00EF6904">
        <w:rPr>
          <w:b/>
        </w:rPr>
        <w:t xml:space="preserve">hacer extensible el Programa de Apoyo a Emprendedores (PAE) a todos </w:t>
      </w:r>
      <w:r w:rsidR="00B34C02" w:rsidRPr="00EF6904">
        <w:rPr>
          <w:b/>
        </w:rPr>
        <w:t>ellos</w:t>
      </w:r>
      <w:r w:rsidR="00B34C02">
        <w:rPr>
          <w:b/>
        </w:rPr>
        <w:t xml:space="preserve">. </w:t>
      </w:r>
      <w:r w:rsidR="0083400F">
        <w:t xml:space="preserve">Además, el Comité ha decidido por unanimidad que las cuatro ayudas económicas a modo de </w:t>
      </w:r>
      <w:r w:rsidR="0083400F">
        <w:rPr>
          <w:i/>
        </w:rPr>
        <w:t xml:space="preserve">Capital Semilla </w:t>
      </w:r>
      <w:r w:rsidR="0083400F" w:rsidRPr="00F6591B">
        <w:t>–dotadas de 5</w:t>
      </w:r>
      <w:r w:rsidR="00EF6904">
        <w:t>.</w:t>
      </w:r>
      <w:r w:rsidR="0083400F" w:rsidRPr="00F6591B">
        <w:t>000</w:t>
      </w:r>
      <w:r w:rsidR="00F6591B" w:rsidRPr="00F6591B">
        <w:t>€ cada una- se concedan a los siguientes Proyectos:</w:t>
      </w:r>
    </w:p>
    <w:p w:rsidR="008C0651" w:rsidRPr="00B34C02" w:rsidRDefault="00415EB9">
      <w:pPr>
        <w:pStyle w:val="Prrafodelista"/>
        <w:numPr>
          <w:ilvl w:val="0"/>
          <w:numId w:val="10"/>
        </w:numPr>
        <w:ind w:left="567" w:hanging="207"/>
        <w:jc w:val="both"/>
        <w:rPr>
          <w:rFonts w:eastAsia="Times New Roman" w:cs="Arial"/>
          <w:color w:val="000000"/>
          <w:lang w:eastAsia="es-ES"/>
        </w:rPr>
      </w:pPr>
      <w:r w:rsidRPr="00415EB9">
        <w:rPr>
          <w:b/>
        </w:rPr>
        <w:t xml:space="preserve"> </w:t>
      </w:r>
      <w:r w:rsidRPr="00B34C02">
        <w:rPr>
          <w:b/>
        </w:rPr>
        <w:t>“</w:t>
      </w:r>
      <w:r w:rsidR="00591721" w:rsidRPr="00B34C02">
        <w:rPr>
          <w:rFonts w:eastAsia="Times New Roman"/>
        </w:rPr>
        <w:t>LA CASA DEL SOL”</w:t>
      </w:r>
      <w:r w:rsidR="00B34C02">
        <w:rPr>
          <w:rFonts w:eastAsia="Times New Roman"/>
        </w:rPr>
        <w:t>, de</w:t>
      </w:r>
      <w:r w:rsidR="00591721" w:rsidRPr="00B34C02">
        <w:rPr>
          <w:rFonts w:eastAsia="Times New Roman"/>
          <w:lang w:eastAsia="es-ES"/>
        </w:rPr>
        <w:t xml:space="preserve"> </w:t>
      </w:r>
      <w:r w:rsidR="00591721" w:rsidRPr="00B34C02">
        <w:rPr>
          <w:rFonts w:eastAsia="Times New Roman"/>
        </w:rPr>
        <w:t xml:space="preserve">Soraya Conde </w:t>
      </w:r>
      <w:proofErr w:type="spellStart"/>
      <w:r w:rsidR="00591721" w:rsidRPr="00B34C02">
        <w:rPr>
          <w:rFonts w:eastAsia="Times New Roman"/>
        </w:rPr>
        <w:t>Rubin</w:t>
      </w:r>
      <w:proofErr w:type="spellEnd"/>
      <w:r w:rsidR="00591721" w:rsidRPr="00B34C02">
        <w:rPr>
          <w:rFonts w:eastAsia="Times New Roman"/>
        </w:rPr>
        <w:t xml:space="preserve">. </w:t>
      </w:r>
      <w:r w:rsidR="00B34C02">
        <w:rPr>
          <w:rFonts w:eastAsia="Times New Roman"/>
        </w:rPr>
        <w:t>U</w:t>
      </w:r>
      <w:r w:rsidR="00591721" w:rsidRPr="00B34C02">
        <w:rPr>
          <w:rFonts w:eastAsia="Times New Roman" w:cs="Arial"/>
          <w:color w:val="000000"/>
          <w:lang w:eastAsia="es-ES"/>
        </w:rPr>
        <w:t>n establecimiento de agroturismo de nueva creación localizado en Rionansa</w:t>
      </w:r>
      <w:r w:rsidR="00B34C02">
        <w:rPr>
          <w:rFonts w:eastAsia="Times New Roman" w:cs="Arial"/>
          <w:color w:val="000000"/>
          <w:lang w:eastAsia="es-ES"/>
        </w:rPr>
        <w:t xml:space="preserve"> y</w:t>
      </w:r>
      <w:r w:rsidR="00591721" w:rsidRPr="00B34C02">
        <w:rPr>
          <w:rFonts w:eastAsia="Times New Roman" w:cs="Arial"/>
          <w:color w:val="000000"/>
          <w:lang w:eastAsia="es-ES"/>
        </w:rPr>
        <w:t xml:space="preserve"> que vende experiencias de ganadería y agricultura tradicional del mismo modo que produce y comercializa carne ecológica de bovino de raza parda de montaña.</w:t>
      </w:r>
    </w:p>
    <w:p w:rsidR="008C0651" w:rsidRPr="00B34C02" w:rsidRDefault="00415EB9">
      <w:pPr>
        <w:pStyle w:val="Prrafodelista"/>
        <w:numPr>
          <w:ilvl w:val="0"/>
          <w:numId w:val="8"/>
        </w:numPr>
        <w:tabs>
          <w:tab w:val="left" w:pos="567"/>
        </w:tabs>
        <w:ind w:left="567" w:hanging="283"/>
        <w:contextualSpacing/>
        <w:jc w:val="both"/>
      </w:pPr>
      <w:r w:rsidRPr="00B34C02">
        <w:t xml:space="preserve"> “</w:t>
      </w:r>
      <w:r w:rsidRPr="00B34C02">
        <w:rPr>
          <w:rFonts w:eastAsia="Times New Roman"/>
        </w:rPr>
        <w:t>LICOR DE PACHARAN "EL PURRIEGO"</w:t>
      </w:r>
      <w:r w:rsidR="00B34C02">
        <w:rPr>
          <w:rFonts w:eastAsia="Times New Roman"/>
        </w:rPr>
        <w:t>, de</w:t>
      </w:r>
      <w:r w:rsidRPr="00B34C02">
        <w:t xml:space="preserve"> </w:t>
      </w:r>
      <w:r w:rsidRPr="00B34C02">
        <w:rPr>
          <w:rFonts w:eastAsia="Times New Roman"/>
          <w:lang w:eastAsia="es-ES"/>
        </w:rPr>
        <w:t>Juan Manuel Torre</w:t>
      </w:r>
      <w:r w:rsidRPr="00B34C02">
        <w:rPr>
          <w:rFonts w:eastAsia="Times New Roman"/>
        </w:rPr>
        <w:t xml:space="preserve"> y Carmen Torre. Elaboración de Licor de Pacharán gourmet, con endrinas de Polaciones y su zona, realizado e</w:t>
      </w:r>
      <w:r w:rsidR="00B34C02">
        <w:rPr>
          <w:rFonts w:eastAsia="Times New Roman"/>
        </w:rPr>
        <w:t>n Polaciones de forma artesanal</w:t>
      </w:r>
      <w:r w:rsidRPr="00B34C02">
        <w:rPr>
          <w:rFonts w:eastAsia="Times New Roman"/>
        </w:rPr>
        <w:t xml:space="preserve"> según receta tradicional. Dicho licor de pacharán podrá ser estándar o personalizado para cada cliente.</w:t>
      </w:r>
    </w:p>
    <w:p w:rsidR="008C0651" w:rsidRPr="00B34C02" w:rsidRDefault="008C0651">
      <w:pPr>
        <w:pStyle w:val="Prrafodelista"/>
        <w:tabs>
          <w:tab w:val="left" w:pos="567"/>
        </w:tabs>
        <w:ind w:left="3119"/>
        <w:contextualSpacing/>
        <w:jc w:val="both"/>
      </w:pPr>
    </w:p>
    <w:p w:rsidR="008C0651" w:rsidRPr="00B34C02" w:rsidRDefault="00415EB9">
      <w:pPr>
        <w:pStyle w:val="Prrafodelista"/>
        <w:numPr>
          <w:ilvl w:val="0"/>
          <w:numId w:val="8"/>
        </w:numPr>
        <w:tabs>
          <w:tab w:val="left" w:pos="567"/>
        </w:tabs>
        <w:ind w:left="567" w:hanging="283"/>
        <w:contextualSpacing/>
        <w:jc w:val="both"/>
      </w:pPr>
      <w:r w:rsidRPr="00B34C02">
        <w:t>“</w:t>
      </w:r>
      <w:r w:rsidRPr="00B34C02">
        <w:rPr>
          <w:rFonts w:eastAsia="Times New Roman"/>
        </w:rPr>
        <w:t>EL COLMENAR DE LAS DOÑAS”</w:t>
      </w:r>
      <w:r w:rsidR="00B34C02">
        <w:rPr>
          <w:rFonts w:eastAsia="Times New Roman"/>
        </w:rPr>
        <w:t>, de</w:t>
      </w:r>
      <w:r w:rsidRPr="00B34C02">
        <w:rPr>
          <w:rFonts w:eastAsia="Times New Roman"/>
          <w:lang w:eastAsia="es-ES"/>
        </w:rPr>
        <w:t xml:space="preserve"> </w:t>
      </w:r>
      <w:r w:rsidRPr="00B34C02">
        <w:rPr>
          <w:rFonts w:eastAsia="Times New Roman"/>
        </w:rPr>
        <w:t>Francisco Gutierrez Alonso</w:t>
      </w:r>
      <w:r w:rsidR="00B34C02">
        <w:rPr>
          <w:rFonts w:eastAsia="Times New Roman"/>
        </w:rPr>
        <w:t xml:space="preserve"> </w:t>
      </w:r>
      <w:r w:rsidRPr="00B34C02">
        <w:rPr>
          <w:rFonts w:eastAsia="Times New Roman"/>
        </w:rPr>
        <w:t>y</w:t>
      </w:r>
      <w:r w:rsidR="00B34C02">
        <w:rPr>
          <w:rFonts w:eastAsia="Times New Roman"/>
        </w:rPr>
        <w:t xml:space="preserve"> </w:t>
      </w:r>
      <w:r w:rsidRPr="00B34C02">
        <w:rPr>
          <w:rFonts w:eastAsia="Times New Roman"/>
        </w:rPr>
        <w:t xml:space="preserve">Gema Garcia Gutierrez. </w:t>
      </w:r>
      <w:r w:rsidR="00B34C02">
        <w:rPr>
          <w:rFonts w:eastAsia="Times New Roman"/>
        </w:rPr>
        <w:t>Una empresa productora de</w:t>
      </w:r>
      <w:r w:rsidRPr="00B34C02">
        <w:rPr>
          <w:rFonts w:eastAsia="Times New Roman"/>
        </w:rPr>
        <w:t xml:space="preserve"> miel y cera</w:t>
      </w:r>
      <w:r w:rsidR="00B34C02">
        <w:rPr>
          <w:rFonts w:eastAsia="Times New Roman"/>
        </w:rPr>
        <w:t xml:space="preserve"> que</w:t>
      </w:r>
      <w:r w:rsidRPr="00B34C02">
        <w:rPr>
          <w:rFonts w:eastAsia="Times New Roman"/>
        </w:rPr>
        <w:t xml:space="preserve"> </w:t>
      </w:r>
      <w:r w:rsidR="00B34C02">
        <w:rPr>
          <w:rFonts w:eastAsia="Times New Roman"/>
        </w:rPr>
        <w:t>p</w:t>
      </w:r>
      <w:r w:rsidRPr="00B34C02">
        <w:rPr>
          <w:rFonts w:eastAsia="Times New Roman"/>
        </w:rPr>
        <w:t xml:space="preserve">retende reorientarse </w:t>
      </w:r>
      <w:r w:rsidR="00B34C02">
        <w:rPr>
          <w:rFonts w:eastAsia="Times New Roman"/>
        </w:rPr>
        <w:t>hacia l</w:t>
      </w:r>
      <w:r w:rsidRPr="00B34C02">
        <w:rPr>
          <w:rFonts w:eastAsia="Times New Roman"/>
        </w:rPr>
        <w:t>a producción ecológica e integrarse en el sello de calidad de la Denominación de O</w:t>
      </w:r>
      <w:r w:rsidR="00C57C5A" w:rsidRPr="00B34C02">
        <w:rPr>
          <w:rFonts w:eastAsia="Times New Roman"/>
        </w:rPr>
        <w:t>rigen Protegida Miel de Liébana.</w:t>
      </w:r>
    </w:p>
    <w:p w:rsidR="008C0651" w:rsidRPr="00B34C02" w:rsidRDefault="008C0651">
      <w:pPr>
        <w:pStyle w:val="Prrafodelista"/>
        <w:tabs>
          <w:tab w:val="left" w:pos="567"/>
        </w:tabs>
        <w:ind w:left="567"/>
        <w:contextualSpacing/>
        <w:jc w:val="both"/>
      </w:pPr>
    </w:p>
    <w:p w:rsidR="00415EB9" w:rsidRPr="00B34C02" w:rsidRDefault="00415EB9" w:rsidP="00415EB9">
      <w:pPr>
        <w:pStyle w:val="Prrafodelista"/>
        <w:numPr>
          <w:ilvl w:val="0"/>
          <w:numId w:val="8"/>
        </w:numPr>
        <w:ind w:left="567" w:hanging="283"/>
        <w:contextualSpacing/>
        <w:jc w:val="both"/>
      </w:pPr>
      <w:r w:rsidRPr="00B34C02">
        <w:rPr>
          <w:b/>
        </w:rPr>
        <w:t>“</w:t>
      </w:r>
      <w:r w:rsidRPr="00B34C02">
        <w:rPr>
          <w:rFonts w:eastAsia="Times New Roman"/>
        </w:rPr>
        <w:t>THE CANTABRIAN”</w:t>
      </w:r>
      <w:r w:rsidR="00B34C02">
        <w:rPr>
          <w:rFonts w:eastAsia="Times New Roman"/>
        </w:rPr>
        <w:t>, de</w:t>
      </w:r>
      <w:r w:rsidRPr="00B34C02">
        <w:t xml:space="preserve"> </w:t>
      </w:r>
      <w:r w:rsidRPr="00B34C02">
        <w:rPr>
          <w:rFonts w:eastAsia="Times New Roman"/>
        </w:rPr>
        <w:t>Alba Sueiro Roman.</w:t>
      </w:r>
      <w:r w:rsidR="00C57C5A" w:rsidRPr="00B34C02">
        <w:rPr>
          <w:rFonts w:eastAsia="Times New Roman"/>
        </w:rPr>
        <w:t xml:space="preserve"> </w:t>
      </w:r>
      <w:r w:rsidR="00B34C02">
        <w:rPr>
          <w:rFonts w:eastAsia="Times New Roman"/>
        </w:rPr>
        <w:t>U</w:t>
      </w:r>
      <w:r w:rsidR="00C57C5A" w:rsidRPr="00B34C02">
        <w:rPr>
          <w:rFonts w:eastAsia="Times New Roman"/>
        </w:rPr>
        <w:t xml:space="preserve">n proyecto de apartamentos medioambientalmente sostenibles en la aldea de </w:t>
      </w:r>
      <w:proofErr w:type="spellStart"/>
      <w:r w:rsidR="00C57C5A" w:rsidRPr="00B34C02">
        <w:rPr>
          <w:rFonts w:eastAsia="Times New Roman"/>
        </w:rPr>
        <w:t>Serdio</w:t>
      </w:r>
      <w:proofErr w:type="spellEnd"/>
      <w:r w:rsidR="00B34C02">
        <w:rPr>
          <w:rFonts w:eastAsia="Times New Roman"/>
        </w:rPr>
        <w:t>,</w:t>
      </w:r>
      <w:r w:rsidR="00C57C5A" w:rsidRPr="00B34C02">
        <w:rPr>
          <w:rFonts w:eastAsia="Times New Roman"/>
        </w:rPr>
        <w:t xml:space="preserve"> que nace para cubrir la necesidad de alojamiento</w:t>
      </w:r>
      <w:r w:rsidR="00B34C02">
        <w:rPr>
          <w:rFonts w:eastAsia="Times New Roman"/>
        </w:rPr>
        <w:t>s</w:t>
      </w:r>
      <w:r w:rsidR="00C57C5A" w:rsidRPr="00B34C02">
        <w:rPr>
          <w:rFonts w:eastAsia="Times New Roman"/>
        </w:rPr>
        <w:t xml:space="preserve"> respetuoso</w:t>
      </w:r>
      <w:r w:rsidR="00B34C02">
        <w:rPr>
          <w:rFonts w:eastAsia="Times New Roman"/>
        </w:rPr>
        <w:t>s</w:t>
      </w:r>
      <w:r w:rsidR="00C57C5A" w:rsidRPr="00B34C02">
        <w:rPr>
          <w:rFonts w:eastAsia="Times New Roman"/>
        </w:rPr>
        <w:t xml:space="preserve"> con el planeta en la comarca Saja-Nansa y para posicionar dicha zona como un polo de atracción para el nicho de turismo responsable y de naturaleza</w:t>
      </w:r>
      <w:r w:rsidR="00B34C02">
        <w:rPr>
          <w:rFonts w:eastAsia="Times New Roman"/>
        </w:rPr>
        <w:t>.</w:t>
      </w:r>
    </w:p>
    <w:p w:rsidR="0092515E" w:rsidRPr="006F2D23" w:rsidRDefault="00AB11FA" w:rsidP="00714266">
      <w:pPr>
        <w:spacing w:line="240" w:lineRule="auto"/>
        <w:jc w:val="both"/>
      </w:pPr>
      <w:r w:rsidRPr="00714266">
        <w:rPr>
          <w:b/>
        </w:rPr>
        <w:t>En esta V</w:t>
      </w:r>
      <w:r w:rsidR="00E27589">
        <w:rPr>
          <w:b/>
        </w:rPr>
        <w:t>I</w:t>
      </w:r>
      <w:r w:rsidRPr="00714266">
        <w:rPr>
          <w:b/>
        </w:rPr>
        <w:t xml:space="preserve"> edición, la Fundación Botín </w:t>
      </w:r>
      <w:r w:rsidR="00E27589">
        <w:rPr>
          <w:b/>
        </w:rPr>
        <w:t xml:space="preserve">continua </w:t>
      </w:r>
      <w:r w:rsidRPr="00714266">
        <w:rPr>
          <w:b/>
        </w:rPr>
        <w:t>reforza</w:t>
      </w:r>
      <w:r w:rsidR="00E27589">
        <w:rPr>
          <w:b/>
        </w:rPr>
        <w:t>n</w:t>
      </w:r>
      <w:r w:rsidRPr="00714266">
        <w:rPr>
          <w:b/>
        </w:rPr>
        <w:t>do su</w:t>
      </w:r>
      <w:r w:rsidR="0092515E" w:rsidRPr="00714266">
        <w:rPr>
          <w:b/>
        </w:rPr>
        <w:t xml:space="preserve"> apuesta por la formación</w:t>
      </w:r>
      <w:r w:rsidR="006E6EBF">
        <w:rPr>
          <w:b/>
        </w:rPr>
        <w:t>, ampliado</w:t>
      </w:r>
      <w:r w:rsidR="00B34C02">
        <w:rPr>
          <w:b/>
        </w:rPr>
        <w:t xml:space="preserve"> </w:t>
      </w:r>
      <w:r w:rsidR="00B34C02" w:rsidRPr="006E6EBF">
        <w:rPr>
          <w:b/>
        </w:rPr>
        <w:t>ya en 2016</w:t>
      </w:r>
      <w:r w:rsidR="0092515E" w:rsidRPr="006E6EBF">
        <w:rPr>
          <w:b/>
        </w:rPr>
        <w:t xml:space="preserve"> </w:t>
      </w:r>
      <w:r w:rsidRPr="006E6EBF">
        <w:rPr>
          <w:b/>
        </w:rPr>
        <w:t>de</w:t>
      </w:r>
      <w:r w:rsidRPr="00714266">
        <w:rPr>
          <w:b/>
        </w:rPr>
        <w:t xml:space="preserve"> uno a dos años </w:t>
      </w:r>
      <w:r w:rsidR="006F2D23" w:rsidRPr="00714266">
        <w:rPr>
          <w:b/>
        </w:rPr>
        <w:t>su</w:t>
      </w:r>
      <w:r w:rsidR="0092515E" w:rsidRPr="00714266">
        <w:rPr>
          <w:b/>
        </w:rPr>
        <w:t xml:space="preserve"> apoyo a los promotores de las iniciativas </w:t>
      </w:r>
      <w:r w:rsidR="0092515E" w:rsidRPr="00DB7FE1">
        <w:t>empresariales</w:t>
      </w:r>
      <w:r w:rsidR="00DB7FE1">
        <w:t xml:space="preserve"> a través del </w:t>
      </w:r>
      <w:r w:rsidR="0092515E" w:rsidRPr="00714266">
        <w:rPr>
          <w:u w:val="single"/>
        </w:rPr>
        <w:t>Programa de Apoyo a los Emprendedores</w:t>
      </w:r>
      <w:r w:rsidR="0092515E" w:rsidRPr="00714266">
        <w:t>,</w:t>
      </w:r>
      <w:r w:rsidR="0092515E" w:rsidRPr="006F2D23">
        <w:t xml:space="preserve"> </w:t>
      </w:r>
      <w:r w:rsidR="004A70A5">
        <w:t xml:space="preserve">abierto a los finalistas y dirigido a asesorarlos </w:t>
      </w:r>
      <w:r w:rsidR="0092515E" w:rsidRPr="006F2D23">
        <w:t>durante la puesta en marcha de sus proyectos</w:t>
      </w:r>
      <w:r w:rsidR="004A70A5">
        <w:t>,</w:t>
      </w:r>
      <w:r w:rsidR="0092515E" w:rsidRPr="006F2D23">
        <w:t xml:space="preserve"> acompañ</w:t>
      </w:r>
      <w:r w:rsidR="004A70A5">
        <w:t>ándolos</w:t>
      </w:r>
      <w:r w:rsidR="0092515E" w:rsidRPr="006F2D23">
        <w:t xml:space="preserve"> </w:t>
      </w:r>
      <w:r w:rsidR="006E6EBF">
        <w:t>durante los primeros meses de puesta en marcha de los proyectos empresariales</w:t>
      </w:r>
      <w:r w:rsidR="0092515E" w:rsidRPr="006F2D23">
        <w:t>, justo cuando suelen encontrarse con más problemas y trabas administrativas.</w:t>
      </w:r>
    </w:p>
    <w:p w:rsidR="0092515E" w:rsidRPr="006F2D23" w:rsidRDefault="0092515E" w:rsidP="006F2D23">
      <w:pPr>
        <w:spacing w:before="60" w:after="60" w:line="240" w:lineRule="auto"/>
        <w:jc w:val="both"/>
        <w:rPr>
          <w:b/>
          <w:u w:val="single"/>
        </w:rPr>
      </w:pPr>
      <w:r w:rsidRPr="006F2D23">
        <w:rPr>
          <w:b/>
          <w:u w:val="single"/>
        </w:rPr>
        <w:t>Desarrollo de los proyectos</w:t>
      </w:r>
    </w:p>
    <w:p w:rsidR="0092515E" w:rsidRPr="006F2D23" w:rsidRDefault="0092515E" w:rsidP="006F2D23">
      <w:pPr>
        <w:spacing w:line="240" w:lineRule="auto"/>
        <w:jc w:val="both"/>
      </w:pPr>
      <w:r w:rsidRPr="006F2D23">
        <w:t xml:space="preserve">Para extender el apoyo que el </w:t>
      </w:r>
      <w:r w:rsidR="00714266">
        <w:t>p</w:t>
      </w:r>
      <w:r w:rsidRPr="006F2D23">
        <w:t xml:space="preserve">rograma de </w:t>
      </w:r>
      <w:r w:rsidR="00714266">
        <w:t>i</w:t>
      </w:r>
      <w:r w:rsidRPr="006F2D23">
        <w:t xml:space="preserve">niciativas </w:t>
      </w:r>
      <w:r w:rsidR="00714266">
        <w:t>e</w:t>
      </w:r>
      <w:r w:rsidRPr="006F2D23">
        <w:t>mpresariales NANSAEMPRENDE brinda a los emprendedores</w:t>
      </w:r>
      <w:r w:rsidRPr="00A041D3">
        <w:rPr>
          <w:b/>
        </w:rPr>
        <w:t>, la Fundación Botín ha diseñado un plan de desarrollo estructurado en tres fases</w:t>
      </w:r>
      <w:r w:rsidRPr="006F2D23">
        <w:t>. La primera de ellas, ya concluida, tuvo lugar entre los meses de abril y julio</w:t>
      </w:r>
      <w:r w:rsidR="00714266">
        <w:t>, tiempo durante el cual</w:t>
      </w:r>
      <w:r w:rsidRPr="006F2D23">
        <w:t xml:space="preserve"> los participantes redactaron y presentaron un Plan de Empresa ante el Comité Técnico encargado de evaluar cada uno de </w:t>
      </w:r>
      <w:r w:rsidR="00714266">
        <w:t>l</w:t>
      </w:r>
      <w:r w:rsidRPr="006F2D23">
        <w:t>os proyectos.</w:t>
      </w:r>
    </w:p>
    <w:p w:rsidR="0092515E" w:rsidRPr="006F2D23" w:rsidRDefault="0092515E" w:rsidP="006F2D23">
      <w:pPr>
        <w:spacing w:line="240" w:lineRule="auto"/>
        <w:jc w:val="both"/>
      </w:pPr>
      <w:r w:rsidRPr="006F2D23">
        <w:t xml:space="preserve">Actualmente, el Programa está inmerso en </w:t>
      </w:r>
      <w:r w:rsidR="00F87CB9" w:rsidRPr="006F2D23">
        <w:t>su</w:t>
      </w:r>
      <w:r w:rsidRPr="006F2D23">
        <w:t xml:space="preserve"> segunda fase</w:t>
      </w:r>
      <w:r w:rsidR="00F87CB9" w:rsidRPr="006F2D23">
        <w:t>, cu</w:t>
      </w:r>
      <w:r w:rsidRPr="006F2D23">
        <w:t>yo desarrollo tiene lugar entre los meses de septiembre y diciembre</w:t>
      </w:r>
      <w:r w:rsidR="00F87CB9" w:rsidRPr="006F2D23">
        <w:t xml:space="preserve">, </w:t>
      </w:r>
      <w:r w:rsidR="00714266">
        <w:t>impartiéndose</w:t>
      </w:r>
      <w:r w:rsidR="00F87CB9" w:rsidRPr="006F2D23">
        <w:t xml:space="preserve"> </w:t>
      </w:r>
      <w:r w:rsidRPr="006F2D23">
        <w:t>un plan forma</w:t>
      </w:r>
      <w:r w:rsidR="00F87CB9" w:rsidRPr="006F2D23">
        <w:t>tivo</w:t>
      </w:r>
      <w:r w:rsidRPr="006F2D23">
        <w:t xml:space="preserve"> específic</w:t>
      </w:r>
      <w:r w:rsidR="00F87CB9" w:rsidRPr="006F2D23">
        <w:t>o</w:t>
      </w:r>
      <w:r w:rsidRPr="006F2D23">
        <w:t xml:space="preserve"> para la redacción del </w:t>
      </w:r>
      <w:r w:rsidR="00714266">
        <w:t>p</w:t>
      </w:r>
      <w:r w:rsidRPr="006F2D23">
        <w:t xml:space="preserve">lan de </w:t>
      </w:r>
      <w:r w:rsidR="00714266">
        <w:t>a</w:t>
      </w:r>
      <w:r w:rsidRPr="006F2D23">
        <w:t>cción</w:t>
      </w:r>
      <w:r w:rsidR="00F87CB9" w:rsidRPr="006F2D23">
        <w:t xml:space="preserve"> de cada emprendedor</w:t>
      </w:r>
      <w:r w:rsidRPr="006F2D23">
        <w:t xml:space="preserve">, </w:t>
      </w:r>
      <w:r w:rsidR="00F87CB9" w:rsidRPr="006F2D23">
        <w:t>asesorándolos</w:t>
      </w:r>
      <w:r w:rsidR="00790FAC">
        <w:t xml:space="preserve"> a la hora de</w:t>
      </w:r>
      <w:r w:rsidRPr="006F2D23">
        <w:t xml:space="preserve"> depurar sus proyectos y </w:t>
      </w:r>
      <w:r w:rsidR="00F87CB9" w:rsidRPr="006F2D23">
        <w:t>brindándoles</w:t>
      </w:r>
      <w:r w:rsidRPr="006F2D23">
        <w:t xml:space="preserve"> apoyo para implementar las recomendaciones que haya podido hacer el Comité Técnico.</w:t>
      </w:r>
    </w:p>
    <w:p w:rsidR="0092515E" w:rsidRPr="006F2D23" w:rsidRDefault="0092515E" w:rsidP="006F2D23">
      <w:pPr>
        <w:spacing w:line="240" w:lineRule="auto"/>
        <w:jc w:val="both"/>
      </w:pPr>
      <w:r w:rsidRPr="006F2D23">
        <w:t xml:space="preserve">Por último, ya en </w:t>
      </w:r>
      <w:r w:rsidR="00E27589" w:rsidRPr="006F2D23">
        <w:t>201</w:t>
      </w:r>
      <w:r w:rsidR="00E27589">
        <w:t>8</w:t>
      </w:r>
      <w:r w:rsidRPr="006F2D23">
        <w:t xml:space="preserve">, </w:t>
      </w:r>
      <w:r w:rsidR="00A041D3">
        <w:t xml:space="preserve">a través de </w:t>
      </w:r>
      <w:r w:rsidRPr="006F2D23">
        <w:t xml:space="preserve">la tercera fase </w:t>
      </w:r>
      <w:r w:rsidR="00F87CB9" w:rsidRPr="006F2D23">
        <w:t>s</w:t>
      </w:r>
      <w:r w:rsidR="00A041D3">
        <w:t>e acompaña</w:t>
      </w:r>
      <w:r w:rsidRPr="006F2D23">
        <w:t xml:space="preserve"> a los emprendedores en los primeros estadios de desarrollo de sus proyectos empresariales. Para ello, se les incorporará </w:t>
      </w:r>
      <w:r w:rsidR="00F87CB9" w:rsidRPr="006F2D23">
        <w:t>a</w:t>
      </w:r>
      <w:r w:rsidRPr="006F2D23">
        <w:t xml:space="preserve">l </w:t>
      </w:r>
      <w:r w:rsidRPr="006F2D23">
        <w:lastRenderedPageBreak/>
        <w:t>Programa de Apoyo a Emprendedores (PAE)</w:t>
      </w:r>
      <w:r w:rsidR="00F87CB9" w:rsidRPr="006F2D23">
        <w:t xml:space="preserve"> </w:t>
      </w:r>
      <w:r w:rsidR="00714266">
        <w:t>y se les</w:t>
      </w:r>
      <w:r w:rsidR="00F87CB9" w:rsidRPr="006F2D23">
        <w:t xml:space="preserve"> presta</w:t>
      </w:r>
      <w:r w:rsidR="00714266">
        <w:t>rá</w:t>
      </w:r>
      <w:r w:rsidRPr="006F2D23">
        <w:t xml:space="preserve"> un </w:t>
      </w:r>
      <w:r w:rsidR="00714266">
        <w:t xml:space="preserve">completo </w:t>
      </w:r>
      <w:r w:rsidRPr="006F2D23">
        <w:t xml:space="preserve">servicio de asesoramiento y seguimiento. Su presencia en este </w:t>
      </w:r>
      <w:r w:rsidR="00A041D3">
        <w:t>p</w:t>
      </w:r>
      <w:r w:rsidRPr="006F2D23">
        <w:t>rograma se formaliza</w:t>
      </w:r>
      <w:r w:rsidR="00F87CB9" w:rsidRPr="006F2D23">
        <w:t>rá</w:t>
      </w:r>
      <w:r w:rsidRPr="006F2D23">
        <w:t xml:space="preserve"> a través de una primera reunión en la que se detalla</w:t>
      </w:r>
      <w:r w:rsidR="00F87CB9" w:rsidRPr="006F2D23">
        <w:t>rá</w:t>
      </w:r>
      <w:r w:rsidRPr="006F2D23">
        <w:t xml:space="preserve"> el </w:t>
      </w:r>
      <w:r w:rsidR="00714266">
        <w:t>p</w:t>
      </w:r>
      <w:r w:rsidRPr="006F2D23">
        <w:t xml:space="preserve">lan de </w:t>
      </w:r>
      <w:r w:rsidR="00714266">
        <w:t>a</w:t>
      </w:r>
      <w:r w:rsidRPr="006F2D23">
        <w:t>cción que los emprendedores se comprometen a ejecutar. Para ello, contarán con el apoyo y asesoramiento de consultores especializados mediante reuniones presenciales (entre 4 y 6 al año) y tutorías on-line.</w:t>
      </w:r>
    </w:p>
    <w:p w:rsidR="0092515E" w:rsidRPr="006E6EBF" w:rsidRDefault="0092515E" w:rsidP="006F2D23">
      <w:pPr>
        <w:spacing w:before="60" w:after="60" w:line="240" w:lineRule="auto"/>
        <w:jc w:val="both"/>
        <w:rPr>
          <w:b/>
          <w:u w:val="single"/>
        </w:rPr>
      </w:pPr>
      <w:r w:rsidRPr="006E6EBF">
        <w:rPr>
          <w:b/>
          <w:u w:val="single"/>
        </w:rPr>
        <w:t>Balance 2011-201</w:t>
      </w:r>
      <w:r w:rsidR="006E6EBF" w:rsidRPr="006E6EBF">
        <w:rPr>
          <w:b/>
          <w:u w:val="single"/>
        </w:rPr>
        <w:t>7</w:t>
      </w:r>
    </w:p>
    <w:p w:rsidR="0092515E" w:rsidRDefault="00E27589" w:rsidP="0036583F">
      <w:pPr>
        <w:spacing w:before="60" w:after="60"/>
        <w:contextualSpacing/>
        <w:jc w:val="both"/>
      </w:pPr>
      <w:r w:rsidRPr="006E6EBF">
        <w:rPr>
          <w:rFonts w:eastAsia="Times New Roman" w:cs="Arial"/>
          <w:b/>
          <w:bCs/>
          <w:lang w:eastAsia="es-ES"/>
        </w:rPr>
        <w:t>Desde la creación del programa en 2011, 30 iniciativas empresariales funcionan con éxito</w:t>
      </w:r>
      <w:r w:rsidR="00790FAC" w:rsidRPr="006E6EBF">
        <w:rPr>
          <w:rFonts w:eastAsia="Times New Roman" w:cs="Arial"/>
          <w:b/>
          <w:bCs/>
          <w:lang w:eastAsia="es-ES"/>
        </w:rPr>
        <w:t xml:space="preserve"> y</w:t>
      </w:r>
      <w:r w:rsidRPr="006E6EBF">
        <w:rPr>
          <w:rFonts w:eastAsia="Times New Roman" w:cs="Arial"/>
          <w:b/>
          <w:bCs/>
          <w:lang w:eastAsia="es-ES"/>
        </w:rPr>
        <w:t xml:space="preserve"> se continua gen</w:t>
      </w:r>
      <w:r w:rsidR="0036583F">
        <w:rPr>
          <w:rFonts w:eastAsia="Times New Roman" w:cs="Arial"/>
          <w:b/>
          <w:bCs/>
          <w:lang w:eastAsia="es-ES"/>
        </w:rPr>
        <w:t>erando riqueza y empleo en las z</w:t>
      </w:r>
      <w:r w:rsidRPr="006E6EBF">
        <w:rPr>
          <w:rFonts w:eastAsia="Times New Roman" w:cs="Arial"/>
          <w:b/>
          <w:bCs/>
          <w:lang w:eastAsia="es-ES"/>
        </w:rPr>
        <w:t xml:space="preserve">ona </w:t>
      </w:r>
      <w:r w:rsidR="0036583F">
        <w:rPr>
          <w:rFonts w:eastAsia="Times New Roman" w:cs="Arial"/>
          <w:b/>
          <w:bCs/>
          <w:lang w:eastAsia="es-ES"/>
        </w:rPr>
        <w:t>r</w:t>
      </w:r>
      <w:r w:rsidRPr="006E6EBF">
        <w:rPr>
          <w:rFonts w:eastAsia="Times New Roman" w:cs="Arial"/>
          <w:b/>
          <w:bCs/>
          <w:lang w:eastAsia="es-ES"/>
        </w:rPr>
        <w:t>urales.</w:t>
      </w:r>
      <w:r w:rsidR="0036583F">
        <w:rPr>
          <w:rFonts w:eastAsia="Times New Roman" w:cs="Arial"/>
          <w:b/>
          <w:bCs/>
          <w:lang w:eastAsia="es-ES"/>
        </w:rPr>
        <w:t xml:space="preserve"> </w:t>
      </w:r>
      <w:r w:rsidR="0092515E" w:rsidRPr="006E6EBF">
        <w:t xml:space="preserve">Además, gracias a este programa </w:t>
      </w:r>
      <w:r w:rsidR="0092515E" w:rsidRPr="0036583F">
        <w:rPr>
          <w:b/>
        </w:rPr>
        <w:t>han recibido formación</w:t>
      </w:r>
      <w:r w:rsidRPr="0036583F">
        <w:rPr>
          <w:b/>
        </w:rPr>
        <w:t xml:space="preserve"> más</w:t>
      </w:r>
      <w:r w:rsidR="0092515E" w:rsidRPr="0036583F">
        <w:rPr>
          <w:b/>
        </w:rPr>
        <w:t xml:space="preserve"> </w:t>
      </w:r>
      <w:r w:rsidRPr="0036583F">
        <w:rPr>
          <w:b/>
        </w:rPr>
        <w:t xml:space="preserve">400 </w:t>
      </w:r>
      <w:r w:rsidR="0092515E" w:rsidRPr="0036583F">
        <w:rPr>
          <w:b/>
        </w:rPr>
        <w:t>personas</w:t>
      </w:r>
      <w:r w:rsidR="0092515E" w:rsidRPr="006E6EBF">
        <w:t xml:space="preserve"> y se ha impulsado el espíritu emprendedor de la zona. Asimismo, merece la pena destacar que -en </w:t>
      </w:r>
      <w:r w:rsidR="0036583F">
        <w:t>estos siete</w:t>
      </w:r>
      <w:r w:rsidR="0092515E" w:rsidRPr="006E6EBF">
        <w:t xml:space="preserve"> años- </w:t>
      </w:r>
      <w:r w:rsidR="0092515E" w:rsidRPr="006E6EBF">
        <w:rPr>
          <w:u w:val="single"/>
        </w:rPr>
        <w:t>se ha duplicado el número de emprendedores participantes, siendo muy llamativa la alta participación de la mujer</w:t>
      </w:r>
      <w:r w:rsidR="0092515E" w:rsidRPr="006E6EBF">
        <w:t xml:space="preserve">, liderando al menos el 43% de las iniciativas puestas en marcha en este tiempo. </w:t>
      </w:r>
    </w:p>
    <w:p w:rsidR="0036583F" w:rsidRPr="006E6EBF" w:rsidRDefault="0036583F" w:rsidP="0036583F">
      <w:pPr>
        <w:spacing w:before="60" w:after="60"/>
        <w:contextualSpacing/>
        <w:jc w:val="both"/>
      </w:pPr>
    </w:p>
    <w:p w:rsidR="006F2D23" w:rsidRPr="006F2D23" w:rsidRDefault="006F2D23" w:rsidP="006F2D23">
      <w:pPr>
        <w:spacing w:line="240" w:lineRule="auto"/>
        <w:jc w:val="both"/>
      </w:pPr>
      <w:r w:rsidRPr="006E6EBF">
        <w:t>Gracias a la apuesta por las nuevas tecnologías que desde N</w:t>
      </w:r>
      <w:r w:rsidR="00A041D3" w:rsidRPr="006E6EBF">
        <w:t>ANSAEMPRENDE</w:t>
      </w:r>
      <w:r w:rsidRPr="006E6EBF">
        <w:t xml:space="preserve"> se lleva a cabo, </w:t>
      </w:r>
      <w:r w:rsidRPr="0036583F">
        <w:rPr>
          <w:b/>
        </w:rPr>
        <w:t>el 56% de los proyectos activos aprovecha las herramientas que ofrece Internet para mejorar su cuenta de resultados</w:t>
      </w:r>
      <w:r w:rsidRPr="006E6EBF">
        <w:t>. Además, la formación sigue siendo muy valorada por los emprendedores, con tasas de asistencia cercanas al 90% en la última edición.</w:t>
      </w:r>
    </w:p>
    <w:p w:rsidR="006E6EBF" w:rsidRDefault="006E6EBF" w:rsidP="006E6EBF">
      <w:pPr>
        <w:spacing w:before="60" w:after="60" w:line="240" w:lineRule="auto"/>
        <w:jc w:val="center"/>
        <w:rPr>
          <w:b/>
          <w:u w:val="single"/>
        </w:rPr>
      </w:pPr>
      <w:r w:rsidRPr="006F2D23">
        <w:rPr>
          <w:b/>
          <w:u w:val="single"/>
        </w:rPr>
        <w:t>Tabla resumen de participación 2011-201</w:t>
      </w:r>
      <w:r>
        <w:rPr>
          <w:b/>
          <w:u w:val="single"/>
        </w:rPr>
        <w:t>7</w:t>
      </w:r>
    </w:p>
    <w:p w:rsidR="006E6EBF" w:rsidRDefault="006E6EBF" w:rsidP="006E6EBF">
      <w:pPr>
        <w:spacing w:before="60" w:after="60" w:line="240" w:lineRule="auto"/>
        <w:jc w:val="center"/>
        <w:rPr>
          <w:b/>
          <w:u w:val="single"/>
        </w:rPr>
      </w:pPr>
    </w:p>
    <w:tbl>
      <w:tblPr>
        <w:tblW w:w="10868" w:type="dxa"/>
        <w:tblCellSpacing w:w="15" w:type="dxa"/>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8"/>
        <w:gridCol w:w="1082"/>
        <w:gridCol w:w="1083"/>
        <w:gridCol w:w="1083"/>
        <w:gridCol w:w="836"/>
        <w:gridCol w:w="992"/>
        <w:gridCol w:w="992"/>
        <w:gridCol w:w="992"/>
      </w:tblGrid>
      <w:tr w:rsidR="006E6EBF" w:rsidRPr="007B749F" w:rsidTr="00883040">
        <w:trPr>
          <w:tblCellSpacing w:w="15" w:type="dxa"/>
        </w:trPr>
        <w:tc>
          <w:tcPr>
            <w:tcW w:w="3763" w:type="dxa"/>
            <w:tcBorders>
              <w:top w:val="single" w:sz="4" w:space="0" w:color="auto"/>
              <w:left w:val="single" w:sz="4" w:space="0" w:color="auto"/>
              <w:bottom w:val="single" w:sz="4" w:space="0" w:color="auto"/>
              <w:right w:val="single" w:sz="4" w:space="0" w:color="auto"/>
            </w:tcBorders>
            <w:shd w:val="clear" w:color="auto" w:fill="C00000"/>
            <w:tcMar>
              <w:top w:w="15" w:type="dxa"/>
              <w:left w:w="15" w:type="dxa"/>
              <w:bottom w:w="15" w:type="dxa"/>
              <w:right w:w="15" w:type="dxa"/>
            </w:tcMar>
            <w:vAlign w:val="center"/>
            <w:hideMark/>
          </w:tcPr>
          <w:p w:rsidR="006E6EBF" w:rsidRPr="007B749F" w:rsidRDefault="006E6EBF" w:rsidP="00883040">
            <w:pPr>
              <w:spacing w:after="0" w:line="240" w:lineRule="auto"/>
              <w:jc w:val="center"/>
              <w:rPr>
                <w:rFonts w:asciiTheme="minorHAnsi" w:eastAsiaTheme="minorEastAsia" w:hAnsiTheme="minorHAnsi"/>
                <w:lang w:eastAsia="es-ES"/>
              </w:rPr>
            </w:pPr>
          </w:p>
        </w:tc>
        <w:tc>
          <w:tcPr>
            <w:tcW w:w="1052" w:type="dxa"/>
            <w:tcBorders>
              <w:top w:val="single" w:sz="4" w:space="0" w:color="auto"/>
              <w:left w:val="single" w:sz="4" w:space="0" w:color="auto"/>
              <w:bottom w:val="single" w:sz="4" w:space="0" w:color="auto"/>
              <w:right w:val="single" w:sz="4" w:space="0" w:color="auto"/>
            </w:tcBorders>
            <w:shd w:val="clear" w:color="auto" w:fill="C00000"/>
            <w:tcMar>
              <w:top w:w="15" w:type="dxa"/>
              <w:left w:w="15" w:type="dxa"/>
              <w:bottom w:w="15" w:type="dxa"/>
              <w:right w:w="15" w:type="dxa"/>
            </w:tcMar>
            <w:vAlign w:val="center"/>
            <w:hideMark/>
          </w:tcPr>
          <w:p w:rsidR="006E6EBF" w:rsidRPr="007B749F" w:rsidRDefault="006E6EBF" w:rsidP="00883040">
            <w:pPr>
              <w:spacing w:after="0" w:line="240" w:lineRule="auto"/>
              <w:jc w:val="center"/>
              <w:rPr>
                <w:rFonts w:asciiTheme="minorHAnsi" w:hAnsiTheme="minorHAnsi"/>
                <w:bCs/>
              </w:rPr>
            </w:pPr>
            <w:r w:rsidRPr="007B749F">
              <w:rPr>
                <w:rFonts w:asciiTheme="minorHAnsi" w:hAnsiTheme="minorHAnsi"/>
                <w:bCs/>
              </w:rPr>
              <w:t>2011</w:t>
            </w:r>
          </w:p>
        </w:tc>
        <w:tc>
          <w:tcPr>
            <w:tcW w:w="1053" w:type="dxa"/>
            <w:tcBorders>
              <w:top w:val="single" w:sz="4" w:space="0" w:color="auto"/>
              <w:left w:val="single" w:sz="4" w:space="0" w:color="auto"/>
              <w:bottom w:val="single" w:sz="4" w:space="0" w:color="auto"/>
              <w:right w:val="single" w:sz="4" w:space="0" w:color="auto"/>
            </w:tcBorders>
            <w:shd w:val="clear" w:color="auto" w:fill="C00000"/>
            <w:tcMar>
              <w:top w:w="15" w:type="dxa"/>
              <w:left w:w="15" w:type="dxa"/>
              <w:bottom w:w="15" w:type="dxa"/>
              <w:right w:w="15" w:type="dxa"/>
            </w:tcMar>
            <w:vAlign w:val="center"/>
            <w:hideMark/>
          </w:tcPr>
          <w:p w:rsidR="006E6EBF" w:rsidRPr="007B749F" w:rsidRDefault="006E6EBF" w:rsidP="00883040">
            <w:pPr>
              <w:spacing w:after="0" w:line="240" w:lineRule="auto"/>
              <w:jc w:val="center"/>
              <w:rPr>
                <w:rFonts w:asciiTheme="minorHAnsi" w:hAnsiTheme="minorHAnsi"/>
                <w:bCs/>
              </w:rPr>
            </w:pPr>
            <w:r w:rsidRPr="007B749F">
              <w:rPr>
                <w:rFonts w:asciiTheme="minorHAnsi" w:hAnsiTheme="minorHAnsi"/>
                <w:bCs/>
              </w:rPr>
              <w:t>2012</w:t>
            </w:r>
          </w:p>
        </w:tc>
        <w:tc>
          <w:tcPr>
            <w:tcW w:w="1053" w:type="dxa"/>
            <w:tcBorders>
              <w:top w:val="single" w:sz="4" w:space="0" w:color="auto"/>
              <w:left w:val="single" w:sz="4" w:space="0" w:color="auto"/>
              <w:bottom w:val="single" w:sz="4" w:space="0" w:color="auto"/>
              <w:right w:val="double" w:sz="4" w:space="0" w:color="auto"/>
            </w:tcBorders>
            <w:shd w:val="clear" w:color="auto" w:fill="C00000"/>
            <w:tcMar>
              <w:top w:w="15" w:type="dxa"/>
              <w:left w:w="15" w:type="dxa"/>
              <w:bottom w:w="15" w:type="dxa"/>
              <w:right w:w="15" w:type="dxa"/>
            </w:tcMar>
            <w:vAlign w:val="center"/>
            <w:hideMark/>
          </w:tcPr>
          <w:p w:rsidR="006E6EBF" w:rsidRPr="007B749F" w:rsidRDefault="006E6EBF" w:rsidP="00883040">
            <w:pPr>
              <w:spacing w:after="0" w:line="240" w:lineRule="auto"/>
              <w:jc w:val="center"/>
              <w:rPr>
                <w:rFonts w:asciiTheme="minorHAnsi" w:hAnsiTheme="minorHAnsi"/>
                <w:bCs/>
              </w:rPr>
            </w:pPr>
            <w:r w:rsidRPr="007B749F">
              <w:rPr>
                <w:rFonts w:asciiTheme="minorHAnsi" w:hAnsiTheme="minorHAnsi"/>
                <w:bCs/>
              </w:rPr>
              <w:t>2013</w:t>
            </w:r>
          </w:p>
        </w:tc>
        <w:tc>
          <w:tcPr>
            <w:tcW w:w="806" w:type="dxa"/>
            <w:tcBorders>
              <w:top w:val="single" w:sz="4" w:space="0" w:color="auto"/>
              <w:left w:val="single" w:sz="4" w:space="0" w:color="auto"/>
              <w:bottom w:val="single" w:sz="4" w:space="0" w:color="auto"/>
              <w:right w:val="single" w:sz="4" w:space="0" w:color="auto"/>
            </w:tcBorders>
            <w:shd w:val="clear" w:color="auto" w:fill="C00000"/>
            <w:tcMar>
              <w:top w:w="15" w:type="dxa"/>
              <w:left w:w="15" w:type="dxa"/>
              <w:bottom w:w="15" w:type="dxa"/>
              <w:right w:w="15" w:type="dxa"/>
            </w:tcMar>
            <w:vAlign w:val="center"/>
            <w:hideMark/>
          </w:tcPr>
          <w:p w:rsidR="006E6EBF" w:rsidRPr="007B749F" w:rsidRDefault="006E6EBF" w:rsidP="00883040">
            <w:pPr>
              <w:spacing w:after="0" w:line="240" w:lineRule="auto"/>
              <w:jc w:val="center"/>
              <w:rPr>
                <w:rFonts w:asciiTheme="minorHAnsi" w:hAnsiTheme="minorHAnsi"/>
                <w:bCs/>
              </w:rPr>
            </w:pPr>
            <w:r w:rsidRPr="007B749F">
              <w:rPr>
                <w:rFonts w:asciiTheme="minorHAnsi" w:hAnsiTheme="minorHAnsi"/>
                <w:bCs/>
              </w:rPr>
              <w:t>2014</w:t>
            </w:r>
          </w:p>
        </w:tc>
        <w:tc>
          <w:tcPr>
            <w:tcW w:w="962" w:type="dxa"/>
            <w:tcBorders>
              <w:top w:val="single" w:sz="4" w:space="0" w:color="auto"/>
              <w:left w:val="single" w:sz="4" w:space="0" w:color="auto"/>
              <w:bottom w:val="single" w:sz="4" w:space="0" w:color="auto"/>
              <w:right w:val="single" w:sz="4" w:space="0" w:color="auto"/>
            </w:tcBorders>
            <w:shd w:val="clear" w:color="auto" w:fill="C00000"/>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2015</w:t>
            </w:r>
          </w:p>
        </w:tc>
        <w:tc>
          <w:tcPr>
            <w:tcW w:w="962" w:type="dxa"/>
            <w:tcBorders>
              <w:top w:val="single" w:sz="4" w:space="0" w:color="auto"/>
              <w:left w:val="single" w:sz="4" w:space="0" w:color="auto"/>
              <w:bottom w:val="single" w:sz="4" w:space="0" w:color="auto"/>
              <w:right w:val="single" w:sz="4" w:space="0" w:color="auto"/>
            </w:tcBorders>
            <w:shd w:val="clear" w:color="auto" w:fill="C00000"/>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2017</w:t>
            </w:r>
          </w:p>
        </w:tc>
        <w:tc>
          <w:tcPr>
            <w:tcW w:w="947" w:type="dxa"/>
            <w:tcBorders>
              <w:top w:val="single" w:sz="4" w:space="0" w:color="auto"/>
              <w:left w:val="single" w:sz="4" w:space="0" w:color="auto"/>
              <w:bottom w:val="single" w:sz="4" w:space="0" w:color="auto"/>
              <w:right w:val="single" w:sz="4" w:space="0" w:color="auto"/>
            </w:tcBorders>
            <w:shd w:val="clear" w:color="auto" w:fill="C00000"/>
            <w:tcMar>
              <w:top w:w="15" w:type="dxa"/>
              <w:left w:w="15" w:type="dxa"/>
              <w:bottom w:w="15" w:type="dxa"/>
              <w:right w:w="15" w:type="dxa"/>
            </w:tcMar>
            <w:vAlign w:val="center"/>
            <w:hideMark/>
          </w:tcPr>
          <w:p w:rsidR="006E6EBF" w:rsidRPr="007B749F" w:rsidRDefault="006E6EBF" w:rsidP="00883040">
            <w:pPr>
              <w:spacing w:after="0" w:line="240" w:lineRule="auto"/>
              <w:jc w:val="center"/>
              <w:rPr>
                <w:rFonts w:asciiTheme="minorHAnsi" w:hAnsiTheme="minorHAnsi"/>
                <w:b/>
                <w:bCs/>
              </w:rPr>
            </w:pPr>
            <w:r w:rsidRPr="007B749F">
              <w:rPr>
                <w:rFonts w:asciiTheme="minorHAnsi" w:hAnsiTheme="minorHAnsi"/>
                <w:b/>
                <w:bCs/>
              </w:rPr>
              <w:t>TOTAL</w:t>
            </w:r>
          </w:p>
        </w:tc>
      </w:tr>
      <w:tr w:rsidR="006E6EBF" w:rsidRPr="007B749F" w:rsidTr="00883040">
        <w:trPr>
          <w:tblCellSpacing w:w="15" w:type="dxa"/>
        </w:trPr>
        <w:tc>
          <w:tcPr>
            <w:tcW w:w="3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7B749F" w:rsidRDefault="006E6EBF" w:rsidP="00883040">
            <w:pPr>
              <w:spacing w:after="0" w:line="240" w:lineRule="auto"/>
              <w:jc w:val="both"/>
              <w:rPr>
                <w:rFonts w:asciiTheme="minorHAnsi" w:hAnsiTheme="minorHAnsi"/>
              </w:rPr>
            </w:pPr>
            <w:r w:rsidRPr="007B749F">
              <w:rPr>
                <w:rFonts w:asciiTheme="minorHAnsi" w:hAnsiTheme="minorHAnsi"/>
              </w:rPr>
              <w:t>Emprendedores Participantes</w:t>
            </w:r>
          </w:p>
        </w:tc>
        <w:tc>
          <w:tcPr>
            <w:tcW w:w="1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23</w:t>
            </w:r>
          </w:p>
        </w:tc>
        <w:tc>
          <w:tcPr>
            <w:tcW w:w="10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37</w:t>
            </w:r>
          </w:p>
        </w:tc>
        <w:tc>
          <w:tcPr>
            <w:tcW w:w="10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45</w:t>
            </w:r>
          </w:p>
        </w:tc>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42</w:t>
            </w:r>
          </w:p>
        </w:tc>
        <w:tc>
          <w:tcPr>
            <w:tcW w:w="962" w:type="dxa"/>
            <w:tcBorders>
              <w:top w:val="single" w:sz="4" w:space="0" w:color="auto"/>
              <w:left w:val="single" w:sz="4" w:space="0" w:color="auto"/>
              <w:bottom w:val="single" w:sz="4" w:space="0" w:color="auto"/>
              <w:right w:val="single" w:sz="4" w:space="0" w:color="auto"/>
            </w:tcBorders>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24</w:t>
            </w:r>
          </w:p>
        </w:tc>
        <w:tc>
          <w:tcPr>
            <w:tcW w:w="962" w:type="dxa"/>
            <w:tcBorders>
              <w:top w:val="single" w:sz="4" w:space="0" w:color="auto"/>
              <w:left w:val="single" w:sz="4" w:space="0" w:color="auto"/>
              <w:bottom w:val="single" w:sz="4" w:space="0" w:color="auto"/>
              <w:right w:val="single" w:sz="4" w:space="0" w:color="auto"/>
            </w:tcBorders>
          </w:tcPr>
          <w:p w:rsidR="006E6EBF" w:rsidRDefault="006E6EBF" w:rsidP="00883040">
            <w:pPr>
              <w:spacing w:after="0" w:line="240" w:lineRule="auto"/>
              <w:jc w:val="center"/>
              <w:rPr>
                <w:rFonts w:asciiTheme="minorHAnsi" w:hAnsiTheme="minorHAnsi"/>
                <w:b/>
                <w:bCs/>
              </w:rPr>
            </w:pPr>
            <w:r>
              <w:rPr>
                <w:rFonts w:asciiTheme="minorHAnsi" w:hAnsiTheme="minorHAnsi"/>
                <w:b/>
                <w:bCs/>
              </w:rPr>
              <w:t>37</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208</w:t>
            </w:r>
          </w:p>
        </w:tc>
      </w:tr>
      <w:tr w:rsidR="006E6EBF" w:rsidRPr="007B749F" w:rsidTr="00883040">
        <w:trPr>
          <w:tblCellSpacing w:w="15" w:type="dxa"/>
        </w:trPr>
        <w:tc>
          <w:tcPr>
            <w:tcW w:w="3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7B749F" w:rsidRDefault="006E6EBF" w:rsidP="00883040">
            <w:pPr>
              <w:spacing w:after="0" w:line="240" w:lineRule="auto"/>
              <w:jc w:val="both"/>
              <w:rPr>
                <w:rFonts w:asciiTheme="minorHAnsi" w:hAnsiTheme="minorHAnsi"/>
              </w:rPr>
            </w:pPr>
            <w:r w:rsidRPr="007B749F">
              <w:rPr>
                <w:rFonts w:asciiTheme="minorHAnsi" w:hAnsiTheme="minorHAnsi"/>
              </w:rPr>
              <w:t xml:space="preserve">Proyectos Participantes </w:t>
            </w:r>
          </w:p>
        </w:tc>
        <w:tc>
          <w:tcPr>
            <w:tcW w:w="1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20</w:t>
            </w:r>
          </w:p>
        </w:tc>
        <w:tc>
          <w:tcPr>
            <w:tcW w:w="10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30</w:t>
            </w:r>
          </w:p>
        </w:tc>
        <w:tc>
          <w:tcPr>
            <w:tcW w:w="10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35</w:t>
            </w:r>
          </w:p>
        </w:tc>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30</w:t>
            </w:r>
          </w:p>
        </w:tc>
        <w:tc>
          <w:tcPr>
            <w:tcW w:w="962" w:type="dxa"/>
            <w:tcBorders>
              <w:top w:val="single" w:sz="4" w:space="0" w:color="auto"/>
              <w:left w:val="single" w:sz="4" w:space="0" w:color="auto"/>
              <w:bottom w:val="single" w:sz="4" w:space="0" w:color="auto"/>
              <w:right w:val="single" w:sz="4" w:space="0" w:color="auto"/>
            </w:tcBorders>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19</w:t>
            </w:r>
          </w:p>
        </w:tc>
        <w:tc>
          <w:tcPr>
            <w:tcW w:w="962" w:type="dxa"/>
            <w:tcBorders>
              <w:top w:val="single" w:sz="4" w:space="0" w:color="auto"/>
              <w:left w:val="single" w:sz="4" w:space="0" w:color="auto"/>
              <w:bottom w:val="single" w:sz="4" w:space="0" w:color="auto"/>
              <w:right w:val="single" w:sz="4" w:space="0" w:color="auto"/>
            </w:tcBorders>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23</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157</w:t>
            </w:r>
          </w:p>
        </w:tc>
      </w:tr>
      <w:tr w:rsidR="006E6EBF" w:rsidRPr="007B749F" w:rsidTr="00883040">
        <w:trPr>
          <w:tblCellSpacing w:w="15" w:type="dxa"/>
        </w:trPr>
        <w:tc>
          <w:tcPr>
            <w:tcW w:w="3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7B749F" w:rsidRDefault="006E6EBF" w:rsidP="00883040">
            <w:pPr>
              <w:spacing w:after="0" w:line="240" w:lineRule="auto"/>
              <w:jc w:val="both"/>
              <w:rPr>
                <w:rFonts w:asciiTheme="minorHAnsi" w:hAnsiTheme="minorHAnsi"/>
              </w:rPr>
            </w:pPr>
            <w:r w:rsidRPr="007B749F">
              <w:rPr>
                <w:rFonts w:asciiTheme="minorHAnsi" w:hAnsiTheme="minorHAnsi"/>
              </w:rPr>
              <w:t>Planes de Negocio Presentados</w:t>
            </w:r>
          </w:p>
        </w:tc>
        <w:tc>
          <w:tcPr>
            <w:tcW w:w="1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11</w:t>
            </w:r>
          </w:p>
        </w:tc>
        <w:tc>
          <w:tcPr>
            <w:tcW w:w="10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14</w:t>
            </w:r>
          </w:p>
        </w:tc>
        <w:tc>
          <w:tcPr>
            <w:tcW w:w="10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19</w:t>
            </w:r>
          </w:p>
        </w:tc>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E6EBF" w:rsidRPr="00862DC7" w:rsidRDefault="006E6EBF" w:rsidP="00883040">
            <w:pPr>
              <w:spacing w:after="0" w:line="240" w:lineRule="auto"/>
              <w:jc w:val="center"/>
              <w:rPr>
                <w:rFonts w:asciiTheme="minorHAnsi" w:hAnsiTheme="minorHAnsi"/>
                <w:bCs/>
              </w:rPr>
            </w:pPr>
            <w:r w:rsidRPr="00862DC7">
              <w:rPr>
                <w:rFonts w:asciiTheme="minorHAnsi" w:hAnsiTheme="minorHAnsi"/>
                <w:bCs/>
              </w:rPr>
              <w:t>17</w:t>
            </w:r>
          </w:p>
        </w:tc>
        <w:tc>
          <w:tcPr>
            <w:tcW w:w="962" w:type="dxa"/>
            <w:tcBorders>
              <w:top w:val="single" w:sz="4" w:space="0" w:color="auto"/>
              <w:left w:val="single" w:sz="4" w:space="0" w:color="auto"/>
              <w:bottom w:val="single" w:sz="4" w:space="0" w:color="auto"/>
              <w:right w:val="single" w:sz="4" w:space="0" w:color="auto"/>
            </w:tcBorders>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7</w:t>
            </w:r>
          </w:p>
        </w:tc>
        <w:tc>
          <w:tcPr>
            <w:tcW w:w="962" w:type="dxa"/>
            <w:tcBorders>
              <w:top w:val="single" w:sz="4" w:space="0" w:color="auto"/>
              <w:left w:val="single" w:sz="4" w:space="0" w:color="auto"/>
              <w:bottom w:val="single" w:sz="4" w:space="0" w:color="auto"/>
              <w:right w:val="single" w:sz="4" w:space="0" w:color="auto"/>
            </w:tcBorders>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12</w:t>
            </w:r>
          </w:p>
        </w:tc>
        <w:tc>
          <w:tcPr>
            <w:tcW w:w="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6EBF" w:rsidRPr="007B749F" w:rsidRDefault="006E6EBF" w:rsidP="00883040">
            <w:pPr>
              <w:spacing w:after="0" w:line="240" w:lineRule="auto"/>
              <w:jc w:val="center"/>
              <w:rPr>
                <w:rFonts w:asciiTheme="minorHAnsi" w:hAnsiTheme="minorHAnsi"/>
                <w:b/>
                <w:bCs/>
              </w:rPr>
            </w:pPr>
            <w:r>
              <w:rPr>
                <w:rFonts w:asciiTheme="minorHAnsi" w:hAnsiTheme="minorHAnsi"/>
                <w:b/>
                <w:bCs/>
              </w:rPr>
              <w:t>80</w:t>
            </w:r>
          </w:p>
        </w:tc>
      </w:tr>
    </w:tbl>
    <w:p w:rsidR="00E27589" w:rsidRDefault="00E27589" w:rsidP="006F2D23">
      <w:pPr>
        <w:spacing w:before="60" w:after="60" w:line="240" w:lineRule="auto"/>
        <w:jc w:val="center"/>
        <w:rPr>
          <w:b/>
          <w:u w:val="single"/>
        </w:rPr>
      </w:pPr>
    </w:p>
    <w:p w:rsidR="008C0651" w:rsidRDefault="00591721">
      <w:pPr>
        <w:spacing w:before="60" w:after="60" w:line="240" w:lineRule="auto"/>
        <w:jc w:val="both"/>
      </w:pPr>
      <w:r w:rsidRPr="00591721">
        <w:t xml:space="preserve">Durante el año 2016, en el </w:t>
      </w:r>
      <w:r w:rsidR="0036583F">
        <w:t xml:space="preserve">que </w:t>
      </w:r>
      <w:r w:rsidRPr="00591721">
        <w:t xml:space="preserve">se ha implementado el PAE, se ha aprovechado para complementar la oferta formativa en el Emprendimiento de  la Zona diseñando un Programa de formación basado en “Píldoras Formativas” </w:t>
      </w:r>
      <w:r w:rsidR="00C57C5A">
        <w:t>impartidas en diferentes escenarios y con contenido muy variado y demandado por los emprendedores.</w:t>
      </w:r>
    </w:p>
    <w:p w:rsidR="008C0651" w:rsidRDefault="008C0651">
      <w:pPr>
        <w:spacing w:before="60" w:after="60" w:line="240" w:lineRule="auto"/>
        <w:jc w:val="both"/>
      </w:pPr>
    </w:p>
    <w:tbl>
      <w:tblPr>
        <w:tblW w:w="7140" w:type="dxa"/>
        <w:tblInd w:w="674" w:type="dxa"/>
        <w:tblCellMar>
          <w:left w:w="0" w:type="dxa"/>
          <w:right w:w="0" w:type="dxa"/>
        </w:tblCellMar>
        <w:tblLook w:val="04A0"/>
      </w:tblPr>
      <w:tblGrid>
        <w:gridCol w:w="1100"/>
        <w:gridCol w:w="4900"/>
        <w:gridCol w:w="1140"/>
      </w:tblGrid>
      <w:tr w:rsidR="00E27589" w:rsidRPr="00E27589" w:rsidTr="0036583F">
        <w:trPr>
          <w:trHeight w:val="584"/>
        </w:trPr>
        <w:tc>
          <w:tcPr>
            <w:tcW w:w="1100" w:type="dxa"/>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hideMark/>
          </w:tcPr>
          <w:p w:rsidR="00415EB9" w:rsidRPr="00927B76" w:rsidRDefault="00591721" w:rsidP="00E27589">
            <w:pPr>
              <w:spacing w:before="60" w:after="60" w:line="240" w:lineRule="auto"/>
              <w:jc w:val="center"/>
              <w:rPr>
                <w:b/>
              </w:rPr>
            </w:pPr>
            <w:r w:rsidRPr="00591721">
              <w:rPr>
                <w:b/>
                <w:bCs/>
              </w:rPr>
              <w:t xml:space="preserve">Nº </w:t>
            </w:r>
          </w:p>
        </w:tc>
        <w:tc>
          <w:tcPr>
            <w:tcW w:w="4900" w:type="dxa"/>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hideMark/>
          </w:tcPr>
          <w:p w:rsidR="00415EB9" w:rsidRPr="00927B76" w:rsidRDefault="00591721" w:rsidP="00C57C5A">
            <w:pPr>
              <w:spacing w:before="60" w:after="60" w:line="240" w:lineRule="auto"/>
              <w:jc w:val="center"/>
              <w:rPr>
                <w:b/>
              </w:rPr>
            </w:pPr>
            <w:r w:rsidRPr="00591721">
              <w:rPr>
                <w:b/>
                <w:bCs/>
              </w:rPr>
              <w:t xml:space="preserve">Actividades 2016 </w:t>
            </w:r>
          </w:p>
        </w:tc>
        <w:tc>
          <w:tcPr>
            <w:tcW w:w="1140" w:type="dxa"/>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hideMark/>
          </w:tcPr>
          <w:p w:rsidR="00415EB9" w:rsidRPr="00927B76" w:rsidRDefault="00591721" w:rsidP="00E27589">
            <w:pPr>
              <w:spacing w:before="60" w:after="60" w:line="240" w:lineRule="auto"/>
              <w:jc w:val="center"/>
              <w:rPr>
                <w:b/>
              </w:rPr>
            </w:pPr>
            <w:proofErr w:type="spellStart"/>
            <w:r w:rsidRPr="00591721">
              <w:rPr>
                <w:b/>
                <w:bCs/>
              </w:rPr>
              <w:t>Asist</w:t>
            </w:r>
            <w:proofErr w:type="spellEnd"/>
            <w:r w:rsidRPr="00591721">
              <w:rPr>
                <w:b/>
                <w:bCs/>
              </w:rPr>
              <w:t xml:space="preserve">. </w:t>
            </w:r>
          </w:p>
        </w:tc>
      </w:tr>
      <w:tr w:rsidR="00E27589" w:rsidRPr="00E27589" w:rsidTr="0036583F">
        <w:trPr>
          <w:trHeight w:val="584"/>
        </w:trPr>
        <w:tc>
          <w:tcPr>
            <w:tcW w:w="110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E27589" w:rsidRPr="00927B76" w:rsidRDefault="00E27589" w:rsidP="00E27589">
            <w:pPr>
              <w:spacing w:before="60" w:after="60" w:line="240" w:lineRule="auto"/>
              <w:jc w:val="center"/>
              <w:rPr>
                <w:b/>
              </w:rPr>
            </w:pPr>
          </w:p>
        </w:tc>
        <w:tc>
          <w:tcPr>
            <w:tcW w:w="490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415EB9" w:rsidRPr="00927B76" w:rsidRDefault="00591721" w:rsidP="00E27589">
            <w:pPr>
              <w:spacing w:before="60" w:after="60" w:line="240" w:lineRule="auto"/>
              <w:jc w:val="center"/>
              <w:rPr>
                <w:b/>
              </w:rPr>
            </w:pPr>
            <w:r w:rsidRPr="00591721">
              <w:rPr>
                <w:b/>
              </w:rPr>
              <w:t xml:space="preserve">Plan de Apoyo Emprendedores </w:t>
            </w:r>
          </w:p>
        </w:tc>
        <w:tc>
          <w:tcPr>
            <w:tcW w:w="114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415EB9" w:rsidRPr="00927B76" w:rsidRDefault="00591721" w:rsidP="00E27589">
            <w:pPr>
              <w:spacing w:before="60" w:after="60" w:line="240" w:lineRule="auto"/>
              <w:jc w:val="center"/>
              <w:rPr>
                <w:b/>
              </w:rPr>
            </w:pPr>
            <w:r w:rsidRPr="00591721">
              <w:rPr>
                <w:b/>
              </w:rPr>
              <w:t xml:space="preserve">9 </w:t>
            </w:r>
          </w:p>
        </w:tc>
      </w:tr>
      <w:tr w:rsidR="00E27589" w:rsidRPr="00E27589" w:rsidTr="0036583F">
        <w:trPr>
          <w:trHeight w:val="584"/>
        </w:trPr>
        <w:tc>
          <w:tcPr>
            <w:tcW w:w="110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415EB9" w:rsidRPr="00927B76" w:rsidRDefault="00591721" w:rsidP="00E27589">
            <w:pPr>
              <w:spacing w:before="60" w:after="60" w:line="240" w:lineRule="auto"/>
              <w:jc w:val="center"/>
              <w:rPr>
                <w:b/>
              </w:rPr>
            </w:pPr>
            <w:r w:rsidRPr="00591721">
              <w:rPr>
                <w:b/>
              </w:rPr>
              <w:t xml:space="preserve">6 </w:t>
            </w:r>
          </w:p>
        </w:tc>
        <w:tc>
          <w:tcPr>
            <w:tcW w:w="490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E27589" w:rsidRPr="00927B76" w:rsidRDefault="00591721" w:rsidP="00E27589">
            <w:pPr>
              <w:spacing w:before="60" w:after="60" w:line="240" w:lineRule="auto"/>
              <w:jc w:val="center"/>
              <w:rPr>
                <w:b/>
              </w:rPr>
            </w:pPr>
            <w:r w:rsidRPr="00591721">
              <w:rPr>
                <w:b/>
              </w:rPr>
              <w:t xml:space="preserve">Sesiones Asesoramiento </w:t>
            </w:r>
          </w:p>
          <w:p w:rsidR="00415EB9" w:rsidRPr="00927B76" w:rsidRDefault="00591721" w:rsidP="00E27589">
            <w:pPr>
              <w:spacing w:before="60" w:after="60" w:line="240" w:lineRule="auto"/>
              <w:jc w:val="center"/>
              <w:rPr>
                <w:b/>
              </w:rPr>
            </w:pPr>
            <w:r w:rsidRPr="00591721">
              <w:rPr>
                <w:b/>
              </w:rPr>
              <w:t xml:space="preserve">Ventanilla Única en Saja Nansa </w:t>
            </w:r>
          </w:p>
        </w:tc>
        <w:tc>
          <w:tcPr>
            <w:tcW w:w="114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415EB9" w:rsidRPr="00927B76" w:rsidRDefault="00591721" w:rsidP="00E27589">
            <w:pPr>
              <w:spacing w:before="60" w:after="60" w:line="240" w:lineRule="auto"/>
              <w:jc w:val="center"/>
              <w:rPr>
                <w:b/>
              </w:rPr>
            </w:pPr>
            <w:r w:rsidRPr="00591721">
              <w:rPr>
                <w:b/>
              </w:rPr>
              <w:t xml:space="preserve">14 </w:t>
            </w:r>
          </w:p>
        </w:tc>
      </w:tr>
      <w:tr w:rsidR="00E27589" w:rsidRPr="00E27589" w:rsidTr="0036583F">
        <w:trPr>
          <w:trHeight w:val="584"/>
        </w:trPr>
        <w:tc>
          <w:tcPr>
            <w:tcW w:w="110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415EB9" w:rsidRPr="00927B76" w:rsidRDefault="00591721" w:rsidP="00E27589">
            <w:pPr>
              <w:spacing w:before="60" w:after="60" w:line="240" w:lineRule="auto"/>
              <w:jc w:val="center"/>
              <w:rPr>
                <w:b/>
              </w:rPr>
            </w:pPr>
            <w:r w:rsidRPr="00591721">
              <w:rPr>
                <w:b/>
              </w:rPr>
              <w:t xml:space="preserve">10 </w:t>
            </w:r>
          </w:p>
        </w:tc>
        <w:tc>
          <w:tcPr>
            <w:tcW w:w="490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E27589" w:rsidRPr="00927B76" w:rsidRDefault="00591721" w:rsidP="00E27589">
            <w:pPr>
              <w:spacing w:before="60" w:after="60" w:line="240" w:lineRule="auto"/>
              <w:jc w:val="center"/>
              <w:rPr>
                <w:b/>
              </w:rPr>
            </w:pPr>
            <w:r w:rsidRPr="00591721">
              <w:rPr>
                <w:b/>
              </w:rPr>
              <w:t xml:space="preserve">Sesiones de Formación </w:t>
            </w:r>
          </w:p>
          <w:p w:rsidR="00415EB9" w:rsidRPr="00927B76" w:rsidRDefault="00591721" w:rsidP="00E27589">
            <w:pPr>
              <w:spacing w:before="60" w:after="60" w:line="240" w:lineRule="auto"/>
              <w:jc w:val="center"/>
              <w:rPr>
                <w:b/>
              </w:rPr>
            </w:pPr>
            <w:r w:rsidRPr="00591721">
              <w:rPr>
                <w:b/>
              </w:rPr>
              <w:t xml:space="preserve">( Saja- Nansa, El Soplao) </w:t>
            </w:r>
          </w:p>
        </w:tc>
        <w:tc>
          <w:tcPr>
            <w:tcW w:w="114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415EB9" w:rsidRPr="00927B76" w:rsidRDefault="00591721" w:rsidP="00E27589">
            <w:pPr>
              <w:spacing w:before="60" w:after="60" w:line="240" w:lineRule="auto"/>
              <w:jc w:val="center"/>
              <w:rPr>
                <w:b/>
              </w:rPr>
            </w:pPr>
            <w:r w:rsidRPr="00591721">
              <w:rPr>
                <w:b/>
              </w:rPr>
              <w:t xml:space="preserve">130 </w:t>
            </w:r>
          </w:p>
        </w:tc>
      </w:tr>
      <w:tr w:rsidR="00E27589" w:rsidRPr="00E27589" w:rsidTr="0036583F">
        <w:trPr>
          <w:trHeight w:val="584"/>
        </w:trPr>
        <w:tc>
          <w:tcPr>
            <w:tcW w:w="110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415EB9" w:rsidRPr="00927B76" w:rsidRDefault="00591721" w:rsidP="00E27589">
            <w:pPr>
              <w:spacing w:before="60" w:after="60" w:line="240" w:lineRule="auto"/>
              <w:jc w:val="center"/>
              <w:rPr>
                <w:b/>
              </w:rPr>
            </w:pPr>
            <w:r w:rsidRPr="00591721">
              <w:rPr>
                <w:b/>
              </w:rPr>
              <w:t xml:space="preserve">1 </w:t>
            </w:r>
          </w:p>
        </w:tc>
        <w:tc>
          <w:tcPr>
            <w:tcW w:w="490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E27589" w:rsidRPr="00927B76" w:rsidRDefault="00591721" w:rsidP="00E27589">
            <w:pPr>
              <w:spacing w:before="60" w:after="60" w:line="240" w:lineRule="auto"/>
              <w:jc w:val="center"/>
              <w:rPr>
                <w:b/>
              </w:rPr>
            </w:pPr>
            <w:r w:rsidRPr="00591721">
              <w:rPr>
                <w:b/>
              </w:rPr>
              <w:t xml:space="preserve">Sesión </w:t>
            </w:r>
            <w:proofErr w:type="spellStart"/>
            <w:r w:rsidRPr="00591721">
              <w:rPr>
                <w:b/>
              </w:rPr>
              <w:t>Networking</w:t>
            </w:r>
            <w:proofErr w:type="spellEnd"/>
            <w:r w:rsidRPr="00591721">
              <w:rPr>
                <w:b/>
              </w:rPr>
              <w:t xml:space="preserve"> </w:t>
            </w:r>
          </w:p>
          <w:p w:rsidR="00415EB9" w:rsidRPr="00927B76" w:rsidRDefault="00591721" w:rsidP="00E27589">
            <w:pPr>
              <w:spacing w:before="60" w:after="60" w:line="240" w:lineRule="auto"/>
              <w:jc w:val="center"/>
              <w:rPr>
                <w:b/>
              </w:rPr>
            </w:pPr>
            <w:r w:rsidRPr="00591721">
              <w:rPr>
                <w:b/>
              </w:rPr>
              <w:t xml:space="preserve">Camara de Comercio Cantabria </w:t>
            </w:r>
          </w:p>
        </w:tc>
        <w:tc>
          <w:tcPr>
            <w:tcW w:w="1140" w:type="dxa"/>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rsidR="00415EB9" w:rsidRPr="00927B76" w:rsidRDefault="00591721" w:rsidP="00E27589">
            <w:pPr>
              <w:spacing w:before="60" w:after="60" w:line="240" w:lineRule="auto"/>
              <w:jc w:val="center"/>
              <w:rPr>
                <w:b/>
              </w:rPr>
            </w:pPr>
            <w:r w:rsidRPr="00591721">
              <w:rPr>
                <w:b/>
              </w:rPr>
              <w:t xml:space="preserve">50 </w:t>
            </w:r>
          </w:p>
        </w:tc>
      </w:tr>
    </w:tbl>
    <w:p w:rsidR="002412E2" w:rsidRDefault="002412E2" w:rsidP="006F2D23">
      <w:pPr>
        <w:spacing w:line="240" w:lineRule="auto"/>
        <w:jc w:val="both"/>
      </w:pPr>
    </w:p>
    <w:p w:rsidR="00542243" w:rsidRDefault="00542243" w:rsidP="00542243">
      <w:r>
        <w:t xml:space="preserve">En sus dos primeras ediciones (2011 y 2012), NANSAEMPREDE estuvo circunscrito al territorio del Valle del Nansa y Peñarrubia, mientras que desde 2013 se abrió también a las zonas del Saja y Liébana, ofreciendo la posibilidad de participar a los emprendedores de estas comarcas y favoreciendo así la creación de una </w:t>
      </w:r>
      <w:r w:rsidRPr="00542243">
        <w:rPr>
          <w:b/>
        </w:rPr>
        <w:t>Red de Emprendedores</w:t>
      </w:r>
      <w:r>
        <w:t xml:space="preserve">. Además, esta iniciativa cuenta con el apoyo de la Cámara de Comercio de Cantabria y la consultora Rurápolis, así como con la colaboración del grupo de empresas cántabro Pitma, </w:t>
      </w:r>
      <w:r>
        <w:rPr>
          <w:color w:val="FF0000"/>
        </w:rPr>
        <w:t xml:space="preserve"> </w:t>
      </w:r>
      <w:r w:rsidRPr="00542243">
        <w:t>con la formación impartida por Nexian y Netkia</w:t>
      </w:r>
      <w:r>
        <w:t>. La inscripción es gratuita y sólo se requiere presentar una iniciativa de negocio para ser admitido al ciclo formativo.</w:t>
      </w:r>
    </w:p>
    <w:p w:rsidR="00BE0E37" w:rsidRPr="006F2D23" w:rsidRDefault="00BE0E37" w:rsidP="00BE0E37">
      <w:pPr>
        <w:pStyle w:val="Default"/>
        <w:spacing w:line="360" w:lineRule="auto"/>
        <w:jc w:val="center"/>
        <w:rPr>
          <w:bCs/>
          <w:iCs/>
          <w:sz w:val="23"/>
          <w:szCs w:val="23"/>
        </w:rPr>
      </w:pPr>
      <w:r w:rsidRPr="006F2D23">
        <w:rPr>
          <w:bCs/>
          <w:iCs/>
          <w:sz w:val="23"/>
          <w:szCs w:val="23"/>
        </w:rPr>
        <w:t>…………………………………………</w:t>
      </w:r>
    </w:p>
    <w:p w:rsidR="00BE0E37" w:rsidRPr="006F2D23" w:rsidRDefault="00BE0E37" w:rsidP="00BE0E37">
      <w:pPr>
        <w:pStyle w:val="Default"/>
        <w:rPr>
          <w:sz w:val="23"/>
          <w:szCs w:val="23"/>
        </w:rPr>
      </w:pPr>
      <w:r w:rsidRPr="006F2D23">
        <w:rPr>
          <w:b/>
          <w:bCs/>
          <w:i/>
          <w:iCs/>
          <w:sz w:val="23"/>
          <w:szCs w:val="23"/>
        </w:rPr>
        <w:t xml:space="preserve">Fundación Botín </w:t>
      </w:r>
    </w:p>
    <w:p w:rsidR="00BE0E37" w:rsidRPr="006F2D23" w:rsidRDefault="00BE0E37" w:rsidP="00BE0E37">
      <w:pPr>
        <w:pStyle w:val="Default"/>
        <w:jc w:val="both"/>
        <w:rPr>
          <w:i/>
          <w:iCs/>
          <w:sz w:val="22"/>
          <w:szCs w:val="22"/>
        </w:rPr>
      </w:pPr>
      <w:r w:rsidRPr="006F2D23">
        <w:rPr>
          <w:i/>
          <w:iCs/>
          <w:sz w:val="22"/>
          <w:szCs w:val="22"/>
        </w:rPr>
        <w:t xml:space="preserve">La Fundación Marcelino Botín fue creada en 1964 por Marcelino Botín Sanz de Sautuola y su mujer, Carmen Yllera, para promover el desarrollo social de Cantabria. Hoy, cincuenta años después, la Fundación Botín contribuye al desarrollo integral de la sociedad explorando nuevas formas de detectar talento creativo y apostar por él para generar riqueza cultural, social y económica. Actúa en los ámbitos del arte y la cultura, la educación, la ciencia y el desarrollo rural, y apoya a instituciones sociales de Cantabria para llegar a quienes más lo necesitan. La Fundación Botín opera sobre todo en España y especialmente en Cantabria, pero también en Iberoamérica.  </w:t>
      </w:r>
      <w:hyperlink r:id="rId7" w:history="1">
        <w:r w:rsidRPr="006F2D23">
          <w:rPr>
            <w:rStyle w:val="Hipervnculo"/>
            <w:i/>
            <w:iCs/>
            <w:sz w:val="22"/>
            <w:szCs w:val="22"/>
          </w:rPr>
          <w:t>www.fundacionbotin.org</w:t>
        </w:r>
      </w:hyperlink>
    </w:p>
    <w:p w:rsidR="00BE0E37" w:rsidRPr="006F2D23" w:rsidRDefault="00BE0E37" w:rsidP="00BE0E37">
      <w:pPr>
        <w:pStyle w:val="Default"/>
        <w:jc w:val="both"/>
        <w:rPr>
          <w:i/>
          <w:iCs/>
          <w:sz w:val="22"/>
          <w:szCs w:val="22"/>
        </w:rPr>
      </w:pPr>
    </w:p>
    <w:p w:rsidR="00F87CB9" w:rsidRPr="006F2D23" w:rsidRDefault="00F87CB9" w:rsidP="00BE0E37">
      <w:pPr>
        <w:spacing w:line="240" w:lineRule="auto"/>
        <w:jc w:val="right"/>
        <w:rPr>
          <w:rFonts w:cs="Arial"/>
          <w:b/>
          <w:u w:val="single"/>
        </w:rPr>
      </w:pPr>
    </w:p>
    <w:p w:rsidR="00BE0E37" w:rsidRPr="006F2D23" w:rsidRDefault="00BE0E37" w:rsidP="00BE0E37">
      <w:pPr>
        <w:spacing w:line="240" w:lineRule="auto"/>
        <w:jc w:val="right"/>
        <w:rPr>
          <w:rFonts w:cs="Arial"/>
          <w:b/>
          <w:u w:val="single"/>
        </w:rPr>
      </w:pPr>
      <w:r w:rsidRPr="006F2D23">
        <w:rPr>
          <w:rFonts w:cs="Arial"/>
          <w:b/>
          <w:u w:val="single"/>
        </w:rPr>
        <w:t xml:space="preserve">Para más información: </w:t>
      </w:r>
    </w:p>
    <w:p w:rsidR="00BE0E37" w:rsidRPr="006F2D23" w:rsidRDefault="00BE0E37" w:rsidP="00BE0E37">
      <w:pPr>
        <w:spacing w:after="0" w:line="240" w:lineRule="atLeast"/>
        <w:jc w:val="right"/>
        <w:rPr>
          <w:rFonts w:cs="Arial"/>
          <w:b/>
        </w:rPr>
      </w:pPr>
      <w:r w:rsidRPr="006F2D23">
        <w:rPr>
          <w:rFonts w:cs="Arial"/>
          <w:b/>
        </w:rPr>
        <w:t>Fundación Botín</w:t>
      </w:r>
    </w:p>
    <w:p w:rsidR="00BE0E37" w:rsidRPr="006F2D23" w:rsidRDefault="00BE0E37" w:rsidP="00BE0E37">
      <w:pPr>
        <w:spacing w:after="0" w:line="240" w:lineRule="atLeast"/>
        <w:jc w:val="right"/>
        <w:rPr>
          <w:rFonts w:cs="Arial"/>
        </w:rPr>
      </w:pPr>
      <w:r w:rsidRPr="006F2D23">
        <w:rPr>
          <w:rFonts w:cs="Arial"/>
        </w:rPr>
        <w:t>María Cagigas</w:t>
      </w:r>
    </w:p>
    <w:p w:rsidR="00BE0E37" w:rsidRPr="006F2D23" w:rsidRDefault="00986A8B" w:rsidP="00BE0E37">
      <w:pPr>
        <w:spacing w:after="0" w:line="240" w:lineRule="atLeast"/>
        <w:jc w:val="right"/>
        <w:rPr>
          <w:rFonts w:cs="Arial"/>
        </w:rPr>
      </w:pPr>
      <w:hyperlink r:id="rId8" w:history="1">
        <w:r w:rsidR="00BE0E37" w:rsidRPr="006F2D23">
          <w:rPr>
            <w:rStyle w:val="Hipervnculo"/>
            <w:rFonts w:cs="Arial"/>
          </w:rPr>
          <w:t>mcagigas@fundacionbotin.org</w:t>
        </w:r>
      </w:hyperlink>
    </w:p>
    <w:p w:rsidR="00BE0E37" w:rsidRPr="006F2D23" w:rsidRDefault="00677D7D" w:rsidP="00BE0E37">
      <w:pPr>
        <w:spacing w:after="0" w:line="240" w:lineRule="atLeast"/>
        <w:jc w:val="right"/>
        <w:rPr>
          <w:rFonts w:eastAsia="Times New Roman" w:cs="KofiPureSerif-Regular"/>
          <w:sz w:val="24"/>
          <w:szCs w:val="24"/>
          <w:lang w:eastAsia="es-ES"/>
        </w:rPr>
      </w:pPr>
      <w:r>
        <w:rPr>
          <w:rFonts w:cs="Arial"/>
        </w:rPr>
        <w:t>Tel.: 917 814 132</w:t>
      </w:r>
    </w:p>
    <w:p w:rsidR="00221C7D" w:rsidRPr="006F2D23" w:rsidRDefault="00221C7D" w:rsidP="00BE0E37">
      <w:pPr>
        <w:jc w:val="both"/>
        <w:rPr>
          <w:b/>
        </w:rPr>
      </w:pPr>
    </w:p>
    <w:sectPr w:rsidR="00221C7D" w:rsidRPr="006F2D23" w:rsidSect="000A21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fiPureSerif-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13200FB"/>
    <w:multiLevelType w:val="hybridMultilevel"/>
    <w:tmpl w:val="72F8177A"/>
    <w:lvl w:ilvl="0" w:tplc="D1147F9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6C57"/>
    <w:multiLevelType w:val="hybridMultilevel"/>
    <w:tmpl w:val="0D84C7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2C953EA"/>
    <w:multiLevelType w:val="hybridMultilevel"/>
    <w:tmpl w:val="5BC863F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ind w:left="5617" w:hanging="360"/>
      </w:pPr>
      <w:rPr>
        <w:rFonts w:ascii="Courier New" w:hAnsi="Courier New" w:hint="default"/>
      </w:rPr>
    </w:lvl>
    <w:lvl w:ilvl="2" w:tplc="0C0A0005">
      <w:start w:val="1"/>
      <w:numFmt w:val="bullet"/>
      <w:lvlText w:val=""/>
      <w:lvlJc w:val="left"/>
      <w:pPr>
        <w:ind w:left="6337" w:hanging="360"/>
      </w:pPr>
      <w:rPr>
        <w:rFonts w:ascii="Wingdings" w:hAnsi="Wingdings" w:hint="default"/>
      </w:rPr>
    </w:lvl>
    <w:lvl w:ilvl="3" w:tplc="0C0A0001">
      <w:start w:val="1"/>
      <w:numFmt w:val="bullet"/>
      <w:lvlText w:val=""/>
      <w:lvlJc w:val="left"/>
      <w:pPr>
        <w:ind w:left="7057" w:hanging="360"/>
      </w:pPr>
      <w:rPr>
        <w:rFonts w:ascii="Symbol" w:hAnsi="Symbol" w:hint="default"/>
      </w:rPr>
    </w:lvl>
    <w:lvl w:ilvl="4" w:tplc="0C0A0003">
      <w:start w:val="1"/>
      <w:numFmt w:val="bullet"/>
      <w:lvlText w:val="o"/>
      <w:lvlJc w:val="left"/>
      <w:pPr>
        <w:ind w:left="7777" w:hanging="360"/>
      </w:pPr>
      <w:rPr>
        <w:rFonts w:ascii="Courier New" w:hAnsi="Courier New" w:hint="default"/>
      </w:rPr>
    </w:lvl>
    <w:lvl w:ilvl="5" w:tplc="0C0A0005">
      <w:start w:val="1"/>
      <w:numFmt w:val="bullet"/>
      <w:lvlText w:val=""/>
      <w:lvlJc w:val="left"/>
      <w:pPr>
        <w:ind w:left="8497" w:hanging="360"/>
      </w:pPr>
      <w:rPr>
        <w:rFonts w:ascii="Wingdings" w:hAnsi="Wingdings" w:hint="default"/>
      </w:rPr>
    </w:lvl>
    <w:lvl w:ilvl="6" w:tplc="0C0A0001">
      <w:start w:val="1"/>
      <w:numFmt w:val="bullet"/>
      <w:lvlText w:val=""/>
      <w:lvlJc w:val="left"/>
      <w:pPr>
        <w:ind w:left="9217" w:hanging="360"/>
      </w:pPr>
      <w:rPr>
        <w:rFonts w:ascii="Symbol" w:hAnsi="Symbol" w:hint="default"/>
      </w:rPr>
    </w:lvl>
    <w:lvl w:ilvl="7" w:tplc="0C0A0003">
      <w:start w:val="1"/>
      <w:numFmt w:val="bullet"/>
      <w:lvlText w:val="o"/>
      <w:lvlJc w:val="left"/>
      <w:pPr>
        <w:ind w:left="9937" w:hanging="360"/>
      </w:pPr>
      <w:rPr>
        <w:rFonts w:ascii="Courier New" w:hAnsi="Courier New" w:hint="default"/>
      </w:rPr>
    </w:lvl>
    <w:lvl w:ilvl="8" w:tplc="0C0A0005">
      <w:start w:val="1"/>
      <w:numFmt w:val="bullet"/>
      <w:lvlText w:val=""/>
      <w:lvlJc w:val="left"/>
      <w:pPr>
        <w:ind w:left="10657" w:hanging="360"/>
      </w:pPr>
      <w:rPr>
        <w:rFonts w:ascii="Wingdings" w:hAnsi="Wingdings" w:hint="default"/>
      </w:rPr>
    </w:lvl>
  </w:abstractNum>
  <w:abstractNum w:abstractNumId="3">
    <w:nsid w:val="24BB47F1"/>
    <w:multiLevelType w:val="hybridMultilevel"/>
    <w:tmpl w:val="7A9056E8"/>
    <w:lvl w:ilvl="0" w:tplc="6BDEAFF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2D18F5"/>
    <w:multiLevelType w:val="hybridMultilevel"/>
    <w:tmpl w:val="338A80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5">
    <w:nsid w:val="3F107A28"/>
    <w:multiLevelType w:val="hybridMultilevel"/>
    <w:tmpl w:val="D08047D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44E1780"/>
    <w:multiLevelType w:val="hybridMultilevel"/>
    <w:tmpl w:val="65E0D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7952FF"/>
    <w:multiLevelType w:val="hybridMultilevel"/>
    <w:tmpl w:val="877C3A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CDC2F14"/>
    <w:multiLevelType w:val="hybridMultilevel"/>
    <w:tmpl w:val="AA50338A"/>
    <w:lvl w:ilvl="0" w:tplc="6BDEAFF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786E99"/>
    <w:multiLevelType w:val="hybridMultilevel"/>
    <w:tmpl w:val="70C8414A"/>
    <w:lvl w:ilvl="0" w:tplc="D1147F9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5"/>
  </w:num>
  <w:num w:numId="6">
    <w:abstractNumId w:val="1"/>
  </w:num>
  <w:num w:numId="7">
    <w:abstractNumId w:val="4"/>
  </w:num>
  <w:num w:numId="8">
    <w:abstractNumId w:val="0"/>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9EA"/>
    <w:rsid w:val="00001783"/>
    <w:rsid w:val="0000659D"/>
    <w:rsid w:val="00007B5F"/>
    <w:rsid w:val="00012E34"/>
    <w:rsid w:val="00013F4A"/>
    <w:rsid w:val="0001544A"/>
    <w:rsid w:val="00041A70"/>
    <w:rsid w:val="0005226E"/>
    <w:rsid w:val="000575D3"/>
    <w:rsid w:val="0006489A"/>
    <w:rsid w:val="00066B92"/>
    <w:rsid w:val="000801B9"/>
    <w:rsid w:val="00083A1B"/>
    <w:rsid w:val="000859EA"/>
    <w:rsid w:val="000A1913"/>
    <w:rsid w:val="000A2139"/>
    <w:rsid w:val="000A478D"/>
    <w:rsid w:val="000C031F"/>
    <w:rsid w:val="000C21AA"/>
    <w:rsid w:val="000D6874"/>
    <w:rsid w:val="000D6965"/>
    <w:rsid w:val="000F2DA9"/>
    <w:rsid w:val="000F62F8"/>
    <w:rsid w:val="0012255B"/>
    <w:rsid w:val="001447BE"/>
    <w:rsid w:val="00147C2C"/>
    <w:rsid w:val="00150DA1"/>
    <w:rsid w:val="00153296"/>
    <w:rsid w:val="00156A86"/>
    <w:rsid w:val="00170BED"/>
    <w:rsid w:val="001832EA"/>
    <w:rsid w:val="00183820"/>
    <w:rsid w:val="001858D3"/>
    <w:rsid w:val="0019428B"/>
    <w:rsid w:val="00195356"/>
    <w:rsid w:val="001955C0"/>
    <w:rsid w:val="001B13D5"/>
    <w:rsid w:val="001F3C87"/>
    <w:rsid w:val="001F6161"/>
    <w:rsid w:val="00210DBE"/>
    <w:rsid w:val="00221C7D"/>
    <w:rsid w:val="002412E2"/>
    <w:rsid w:val="00253435"/>
    <w:rsid w:val="00254F99"/>
    <w:rsid w:val="00272789"/>
    <w:rsid w:val="00291D80"/>
    <w:rsid w:val="002C6D4F"/>
    <w:rsid w:val="002D4521"/>
    <w:rsid w:val="002E24B1"/>
    <w:rsid w:val="0030668A"/>
    <w:rsid w:val="003113FF"/>
    <w:rsid w:val="00313566"/>
    <w:rsid w:val="00313F1F"/>
    <w:rsid w:val="0036583F"/>
    <w:rsid w:val="00366A15"/>
    <w:rsid w:val="00380741"/>
    <w:rsid w:val="003A7843"/>
    <w:rsid w:val="003D3E25"/>
    <w:rsid w:val="003E7F07"/>
    <w:rsid w:val="00415EB9"/>
    <w:rsid w:val="00420B60"/>
    <w:rsid w:val="004232AE"/>
    <w:rsid w:val="004240BA"/>
    <w:rsid w:val="00486EB6"/>
    <w:rsid w:val="00495999"/>
    <w:rsid w:val="004A70A5"/>
    <w:rsid w:val="004B5372"/>
    <w:rsid w:val="004D5680"/>
    <w:rsid w:val="004D7AF2"/>
    <w:rsid w:val="004E7270"/>
    <w:rsid w:val="004F68D5"/>
    <w:rsid w:val="00501ED6"/>
    <w:rsid w:val="00542243"/>
    <w:rsid w:val="00586C7A"/>
    <w:rsid w:val="00591721"/>
    <w:rsid w:val="005B20C0"/>
    <w:rsid w:val="005D553F"/>
    <w:rsid w:val="005E7BFB"/>
    <w:rsid w:val="00605267"/>
    <w:rsid w:val="00613206"/>
    <w:rsid w:val="00632D40"/>
    <w:rsid w:val="00662E64"/>
    <w:rsid w:val="00677D7D"/>
    <w:rsid w:val="00691521"/>
    <w:rsid w:val="006947DA"/>
    <w:rsid w:val="006A490B"/>
    <w:rsid w:val="006B2883"/>
    <w:rsid w:val="006B58DC"/>
    <w:rsid w:val="006C375F"/>
    <w:rsid w:val="006C657D"/>
    <w:rsid w:val="006D6371"/>
    <w:rsid w:val="006D782A"/>
    <w:rsid w:val="006E481B"/>
    <w:rsid w:val="006E553E"/>
    <w:rsid w:val="006E6EBF"/>
    <w:rsid w:val="006F2D23"/>
    <w:rsid w:val="00702D87"/>
    <w:rsid w:val="00714266"/>
    <w:rsid w:val="00716B85"/>
    <w:rsid w:val="007309D4"/>
    <w:rsid w:val="00733702"/>
    <w:rsid w:val="00733C9C"/>
    <w:rsid w:val="0074122B"/>
    <w:rsid w:val="0075050F"/>
    <w:rsid w:val="00752E09"/>
    <w:rsid w:val="00762415"/>
    <w:rsid w:val="0078596D"/>
    <w:rsid w:val="00790FAC"/>
    <w:rsid w:val="0079643F"/>
    <w:rsid w:val="007A4F2F"/>
    <w:rsid w:val="007E07FB"/>
    <w:rsid w:val="007E489B"/>
    <w:rsid w:val="007F367E"/>
    <w:rsid w:val="00823364"/>
    <w:rsid w:val="008234A0"/>
    <w:rsid w:val="0083400F"/>
    <w:rsid w:val="00864FEF"/>
    <w:rsid w:val="0088437E"/>
    <w:rsid w:val="008A03B9"/>
    <w:rsid w:val="008C0651"/>
    <w:rsid w:val="00912558"/>
    <w:rsid w:val="00922927"/>
    <w:rsid w:val="0092515E"/>
    <w:rsid w:val="00927B76"/>
    <w:rsid w:val="00943027"/>
    <w:rsid w:val="00956152"/>
    <w:rsid w:val="0095773D"/>
    <w:rsid w:val="00957CF7"/>
    <w:rsid w:val="00963014"/>
    <w:rsid w:val="009679AF"/>
    <w:rsid w:val="00971D1B"/>
    <w:rsid w:val="0097787D"/>
    <w:rsid w:val="009825A8"/>
    <w:rsid w:val="00986A8B"/>
    <w:rsid w:val="00986FF9"/>
    <w:rsid w:val="00992944"/>
    <w:rsid w:val="009A02E4"/>
    <w:rsid w:val="009B56A7"/>
    <w:rsid w:val="00A02BCB"/>
    <w:rsid w:val="00A041D3"/>
    <w:rsid w:val="00A3280E"/>
    <w:rsid w:val="00A339BE"/>
    <w:rsid w:val="00A41D5E"/>
    <w:rsid w:val="00A44E50"/>
    <w:rsid w:val="00A54D98"/>
    <w:rsid w:val="00A57C04"/>
    <w:rsid w:val="00A91FDC"/>
    <w:rsid w:val="00AB11FA"/>
    <w:rsid w:val="00AF077C"/>
    <w:rsid w:val="00AF2D6D"/>
    <w:rsid w:val="00B2541C"/>
    <w:rsid w:val="00B264D0"/>
    <w:rsid w:val="00B314BA"/>
    <w:rsid w:val="00B34C02"/>
    <w:rsid w:val="00B45048"/>
    <w:rsid w:val="00B549EB"/>
    <w:rsid w:val="00B5522F"/>
    <w:rsid w:val="00B561F4"/>
    <w:rsid w:val="00B57C92"/>
    <w:rsid w:val="00B8560E"/>
    <w:rsid w:val="00B916C7"/>
    <w:rsid w:val="00B93588"/>
    <w:rsid w:val="00B93677"/>
    <w:rsid w:val="00BA10A1"/>
    <w:rsid w:val="00BC71CB"/>
    <w:rsid w:val="00BE08B3"/>
    <w:rsid w:val="00BE0E37"/>
    <w:rsid w:val="00BF6497"/>
    <w:rsid w:val="00BF7547"/>
    <w:rsid w:val="00C228A4"/>
    <w:rsid w:val="00C343A9"/>
    <w:rsid w:val="00C434DE"/>
    <w:rsid w:val="00C530E5"/>
    <w:rsid w:val="00C57C5A"/>
    <w:rsid w:val="00C649CD"/>
    <w:rsid w:val="00CC6D31"/>
    <w:rsid w:val="00CD2EF1"/>
    <w:rsid w:val="00CD3E06"/>
    <w:rsid w:val="00CE37FD"/>
    <w:rsid w:val="00CE612B"/>
    <w:rsid w:val="00CF0331"/>
    <w:rsid w:val="00CF12CE"/>
    <w:rsid w:val="00D0793A"/>
    <w:rsid w:val="00D224A7"/>
    <w:rsid w:val="00D25589"/>
    <w:rsid w:val="00D26945"/>
    <w:rsid w:val="00D40ACB"/>
    <w:rsid w:val="00D47C43"/>
    <w:rsid w:val="00D54CC1"/>
    <w:rsid w:val="00D81EB8"/>
    <w:rsid w:val="00D8234C"/>
    <w:rsid w:val="00DB7FE1"/>
    <w:rsid w:val="00DC5CE4"/>
    <w:rsid w:val="00DD3929"/>
    <w:rsid w:val="00DE5D77"/>
    <w:rsid w:val="00DF32B1"/>
    <w:rsid w:val="00DF3582"/>
    <w:rsid w:val="00E01B54"/>
    <w:rsid w:val="00E27589"/>
    <w:rsid w:val="00E61067"/>
    <w:rsid w:val="00E62950"/>
    <w:rsid w:val="00E870E9"/>
    <w:rsid w:val="00E90734"/>
    <w:rsid w:val="00EB27F1"/>
    <w:rsid w:val="00EF6904"/>
    <w:rsid w:val="00F46B27"/>
    <w:rsid w:val="00F6591B"/>
    <w:rsid w:val="00F71474"/>
    <w:rsid w:val="00F86026"/>
    <w:rsid w:val="00F87CB9"/>
    <w:rsid w:val="00FB205B"/>
    <w:rsid w:val="00FF39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39"/>
    <w:pPr>
      <w:spacing w:after="200" w:line="276" w:lineRule="auto"/>
    </w:pPr>
    <w:rPr>
      <w:sz w:val="22"/>
      <w:szCs w:val="22"/>
      <w:lang w:eastAsia="en-US"/>
    </w:rPr>
  </w:style>
  <w:style w:type="paragraph" w:styleId="Ttulo2">
    <w:name w:val="heading 2"/>
    <w:basedOn w:val="Normal"/>
    <w:link w:val="Ttulo2Car"/>
    <w:uiPriority w:val="9"/>
    <w:qFormat/>
    <w:rsid w:val="00B549EB"/>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859EA"/>
    <w:rPr>
      <w:color w:val="0000FF"/>
      <w:u w:val="single"/>
    </w:rPr>
  </w:style>
  <w:style w:type="character" w:customStyle="1" w:styleId="Ttulo2Car">
    <w:name w:val="Título 2 Car"/>
    <w:basedOn w:val="Fuentedeprrafopredeter"/>
    <w:link w:val="Ttulo2"/>
    <w:uiPriority w:val="9"/>
    <w:rsid w:val="00B549EB"/>
    <w:rPr>
      <w:rFonts w:ascii="Times New Roman" w:eastAsia="Times New Roman" w:hAnsi="Times New Roman" w:cs="Times New Roman"/>
      <w:b/>
      <w:bCs/>
      <w:sz w:val="36"/>
      <w:szCs w:val="36"/>
      <w:lang w:eastAsia="es-ES"/>
    </w:rPr>
  </w:style>
  <w:style w:type="paragraph" w:customStyle="1" w:styleId="Prrafodelista1">
    <w:name w:val="Párrafo de lista1"/>
    <w:basedOn w:val="Normal"/>
    <w:rsid w:val="00B549EB"/>
    <w:pPr>
      <w:ind w:left="720"/>
    </w:pPr>
    <w:rPr>
      <w:rFonts w:eastAsia="Times New Roman"/>
    </w:rPr>
  </w:style>
  <w:style w:type="character" w:customStyle="1" w:styleId="apple-converted-space">
    <w:name w:val="apple-converted-space"/>
    <w:basedOn w:val="Fuentedeprrafopredeter"/>
    <w:rsid w:val="00B549EB"/>
  </w:style>
  <w:style w:type="character" w:styleId="Textoennegrita">
    <w:name w:val="Strong"/>
    <w:basedOn w:val="Fuentedeprrafopredeter"/>
    <w:uiPriority w:val="22"/>
    <w:qFormat/>
    <w:rsid w:val="00B549EB"/>
    <w:rPr>
      <w:b/>
      <w:bCs/>
    </w:rPr>
  </w:style>
  <w:style w:type="paragraph" w:styleId="Prrafodelista">
    <w:name w:val="List Paragraph"/>
    <w:basedOn w:val="Normal"/>
    <w:uiPriority w:val="34"/>
    <w:qFormat/>
    <w:rsid w:val="00B549EB"/>
    <w:pPr>
      <w:ind w:left="720"/>
    </w:pPr>
    <w:rPr>
      <w:rFonts w:cs="Calibri"/>
    </w:rPr>
  </w:style>
  <w:style w:type="character" w:styleId="Hipervnculovisitado">
    <w:name w:val="FollowedHyperlink"/>
    <w:basedOn w:val="Fuentedeprrafopredeter"/>
    <w:uiPriority w:val="99"/>
    <w:semiHidden/>
    <w:unhideWhenUsed/>
    <w:rsid w:val="004F68D5"/>
    <w:rPr>
      <w:color w:val="800080"/>
      <w:u w:val="single"/>
    </w:rPr>
  </w:style>
  <w:style w:type="paragraph" w:customStyle="1" w:styleId="Default">
    <w:name w:val="Default"/>
    <w:rsid w:val="00BE0E37"/>
    <w:pPr>
      <w:autoSpaceDE w:val="0"/>
      <w:autoSpaceDN w:val="0"/>
      <w:adjustRightInd w:val="0"/>
    </w:pPr>
    <w:rPr>
      <w:rFonts w:cs="Calibri"/>
      <w:color w:val="000000"/>
      <w:sz w:val="24"/>
      <w:szCs w:val="24"/>
    </w:rPr>
  </w:style>
  <w:style w:type="character" w:styleId="Refdecomentario">
    <w:name w:val="annotation reference"/>
    <w:basedOn w:val="Fuentedeprrafopredeter"/>
    <w:uiPriority w:val="99"/>
    <w:semiHidden/>
    <w:unhideWhenUsed/>
    <w:rsid w:val="00170BED"/>
    <w:rPr>
      <w:sz w:val="16"/>
      <w:szCs w:val="16"/>
    </w:rPr>
  </w:style>
  <w:style w:type="paragraph" w:styleId="Textocomentario">
    <w:name w:val="annotation text"/>
    <w:basedOn w:val="Normal"/>
    <w:link w:val="TextocomentarioCar"/>
    <w:uiPriority w:val="99"/>
    <w:semiHidden/>
    <w:unhideWhenUsed/>
    <w:rsid w:val="00170BED"/>
    <w:rPr>
      <w:sz w:val="20"/>
      <w:szCs w:val="20"/>
    </w:rPr>
  </w:style>
  <w:style w:type="character" w:customStyle="1" w:styleId="TextocomentarioCar">
    <w:name w:val="Texto comentario Car"/>
    <w:basedOn w:val="Fuentedeprrafopredeter"/>
    <w:link w:val="Textocomentario"/>
    <w:uiPriority w:val="99"/>
    <w:semiHidden/>
    <w:rsid w:val="00170BED"/>
    <w:rPr>
      <w:lang w:eastAsia="en-US"/>
    </w:rPr>
  </w:style>
  <w:style w:type="paragraph" w:styleId="Asuntodelcomentario">
    <w:name w:val="annotation subject"/>
    <w:basedOn w:val="Textocomentario"/>
    <w:next w:val="Textocomentario"/>
    <w:link w:val="AsuntodelcomentarioCar"/>
    <w:uiPriority w:val="99"/>
    <w:semiHidden/>
    <w:unhideWhenUsed/>
    <w:rsid w:val="00170BED"/>
    <w:rPr>
      <w:b/>
      <w:bCs/>
    </w:rPr>
  </w:style>
  <w:style w:type="character" w:customStyle="1" w:styleId="AsuntodelcomentarioCar">
    <w:name w:val="Asunto del comentario Car"/>
    <w:basedOn w:val="TextocomentarioCar"/>
    <w:link w:val="Asuntodelcomentario"/>
    <w:uiPriority w:val="99"/>
    <w:semiHidden/>
    <w:rsid w:val="00170BED"/>
    <w:rPr>
      <w:b/>
      <w:bCs/>
    </w:rPr>
  </w:style>
  <w:style w:type="paragraph" w:styleId="Textodeglobo">
    <w:name w:val="Balloon Text"/>
    <w:basedOn w:val="Normal"/>
    <w:link w:val="TextodegloboCar"/>
    <w:uiPriority w:val="99"/>
    <w:semiHidden/>
    <w:unhideWhenUsed/>
    <w:rsid w:val="00170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BED"/>
    <w:rPr>
      <w:rFonts w:ascii="Tahoma" w:hAnsi="Tahoma" w:cs="Tahoma"/>
      <w:sz w:val="16"/>
      <w:szCs w:val="16"/>
      <w:lang w:eastAsia="en-US"/>
    </w:rPr>
  </w:style>
  <w:style w:type="paragraph" w:styleId="NormalWeb">
    <w:name w:val="Normal (Web)"/>
    <w:basedOn w:val="Normal"/>
    <w:uiPriority w:val="99"/>
    <w:semiHidden/>
    <w:unhideWhenUsed/>
    <w:rsid w:val="00691521"/>
    <w:pPr>
      <w:spacing w:before="100" w:beforeAutospacing="1" w:after="100" w:afterAutospacing="1" w:line="240" w:lineRule="auto"/>
    </w:pPr>
    <w:rPr>
      <w:rFonts w:ascii="Times New Roman" w:hAnsi="Times New Roman"/>
      <w:sz w:val="24"/>
      <w:szCs w:val="24"/>
      <w:lang w:eastAsia="es-ES"/>
    </w:rPr>
  </w:style>
  <w:style w:type="paragraph" w:styleId="Revisin">
    <w:name w:val="Revision"/>
    <w:hidden/>
    <w:uiPriority w:val="99"/>
    <w:semiHidden/>
    <w:rsid w:val="00927B7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8676648">
      <w:bodyDiv w:val="1"/>
      <w:marLeft w:val="0"/>
      <w:marRight w:val="0"/>
      <w:marTop w:val="0"/>
      <w:marBottom w:val="0"/>
      <w:divBdr>
        <w:top w:val="none" w:sz="0" w:space="0" w:color="auto"/>
        <w:left w:val="none" w:sz="0" w:space="0" w:color="auto"/>
        <w:bottom w:val="none" w:sz="0" w:space="0" w:color="auto"/>
        <w:right w:val="none" w:sz="0" w:space="0" w:color="auto"/>
      </w:divBdr>
    </w:div>
    <w:div w:id="235215047">
      <w:bodyDiv w:val="1"/>
      <w:marLeft w:val="0"/>
      <w:marRight w:val="0"/>
      <w:marTop w:val="0"/>
      <w:marBottom w:val="0"/>
      <w:divBdr>
        <w:top w:val="none" w:sz="0" w:space="0" w:color="auto"/>
        <w:left w:val="none" w:sz="0" w:space="0" w:color="auto"/>
        <w:bottom w:val="none" w:sz="0" w:space="0" w:color="auto"/>
        <w:right w:val="none" w:sz="0" w:space="0" w:color="auto"/>
      </w:divBdr>
    </w:div>
    <w:div w:id="494491951">
      <w:bodyDiv w:val="1"/>
      <w:marLeft w:val="0"/>
      <w:marRight w:val="0"/>
      <w:marTop w:val="0"/>
      <w:marBottom w:val="0"/>
      <w:divBdr>
        <w:top w:val="none" w:sz="0" w:space="0" w:color="auto"/>
        <w:left w:val="none" w:sz="0" w:space="0" w:color="auto"/>
        <w:bottom w:val="none" w:sz="0" w:space="0" w:color="auto"/>
        <w:right w:val="none" w:sz="0" w:space="0" w:color="auto"/>
      </w:divBdr>
    </w:div>
    <w:div w:id="567032571">
      <w:bodyDiv w:val="1"/>
      <w:marLeft w:val="0"/>
      <w:marRight w:val="0"/>
      <w:marTop w:val="0"/>
      <w:marBottom w:val="0"/>
      <w:divBdr>
        <w:top w:val="none" w:sz="0" w:space="0" w:color="auto"/>
        <w:left w:val="none" w:sz="0" w:space="0" w:color="auto"/>
        <w:bottom w:val="none" w:sz="0" w:space="0" w:color="auto"/>
        <w:right w:val="none" w:sz="0" w:space="0" w:color="auto"/>
      </w:divBdr>
    </w:div>
    <w:div w:id="640037569">
      <w:bodyDiv w:val="1"/>
      <w:marLeft w:val="0"/>
      <w:marRight w:val="0"/>
      <w:marTop w:val="0"/>
      <w:marBottom w:val="0"/>
      <w:divBdr>
        <w:top w:val="none" w:sz="0" w:space="0" w:color="auto"/>
        <w:left w:val="none" w:sz="0" w:space="0" w:color="auto"/>
        <w:bottom w:val="none" w:sz="0" w:space="0" w:color="auto"/>
        <w:right w:val="none" w:sz="0" w:space="0" w:color="auto"/>
      </w:divBdr>
    </w:div>
    <w:div w:id="718557803">
      <w:bodyDiv w:val="1"/>
      <w:marLeft w:val="0"/>
      <w:marRight w:val="0"/>
      <w:marTop w:val="0"/>
      <w:marBottom w:val="0"/>
      <w:divBdr>
        <w:top w:val="none" w:sz="0" w:space="0" w:color="auto"/>
        <w:left w:val="none" w:sz="0" w:space="0" w:color="auto"/>
        <w:bottom w:val="none" w:sz="0" w:space="0" w:color="auto"/>
        <w:right w:val="none" w:sz="0" w:space="0" w:color="auto"/>
      </w:divBdr>
    </w:div>
    <w:div w:id="764765046">
      <w:bodyDiv w:val="1"/>
      <w:marLeft w:val="0"/>
      <w:marRight w:val="0"/>
      <w:marTop w:val="0"/>
      <w:marBottom w:val="0"/>
      <w:divBdr>
        <w:top w:val="none" w:sz="0" w:space="0" w:color="auto"/>
        <w:left w:val="none" w:sz="0" w:space="0" w:color="auto"/>
        <w:bottom w:val="none" w:sz="0" w:space="0" w:color="auto"/>
        <w:right w:val="none" w:sz="0" w:space="0" w:color="auto"/>
      </w:divBdr>
    </w:div>
    <w:div w:id="939408262">
      <w:bodyDiv w:val="1"/>
      <w:marLeft w:val="0"/>
      <w:marRight w:val="0"/>
      <w:marTop w:val="0"/>
      <w:marBottom w:val="0"/>
      <w:divBdr>
        <w:top w:val="none" w:sz="0" w:space="0" w:color="auto"/>
        <w:left w:val="none" w:sz="0" w:space="0" w:color="auto"/>
        <w:bottom w:val="none" w:sz="0" w:space="0" w:color="auto"/>
        <w:right w:val="none" w:sz="0" w:space="0" w:color="auto"/>
      </w:divBdr>
    </w:div>
    <w:div w:id="966158792">
      <w:bodyDiv w:val="1"/>
      <w:marLeft w:val="0"/>
      <w:marRight w:val="0"/>
      <w:marTop w:val="0"/>
      <w:marBottom w:val="0"/>
      <w:divBdr>
        <w:top w:val="none" w:sz="0" w:space="0" w:color="auto"/>
        <w:left w:val="none" w:sz="0" w:space="0" w:color="auto"/>
        <w:bottom w:val="none" w:sz="0" w:space="0" w:color="auto"/>
        <w:right w:val="none" w:sz="0" w:space="0" w:color="auto"/>
      </w:divBdr>
    </w:div>
    <w:div w:id="992100871">
      <w:bodyDiv w:val="1"/>
      <w:marLeft w:val="0"/>
      <w:marRight w:val="0"/>
      <w:marTop w:val="0"/>
      <w:marBottom w:val="0"/>
      <w:divBdr>
        <w:top w:val="none" w:sz="0" w:space="0" w:color="auto"/>
        <w:left w:val="none" w:sz="0" w:space="0" w:color="auto"/>
        <w:bottom w:val="none" w:sz="0" w:space="0" w:color="auto"/>
        <w:right w:val="none" w:sz="0" w:space="0" w:color="auto"/>
      </w:divBdr>
    </w:div>
    <w:div w:id="1162620967">
      <w:bodyDiv w:val="1"/>
      <w:marLeft w:val="0"/>
      <w:marRight w:val="0"/>
      <w:marTop w:val="0"/>
      <w:marBottom w:val="0"/>
      <w:divBdr>
        <w:top w:val="none" w:sz="0" w:space="0" w:color="auto"/>
        <w:left w:val="none" w:sz="0" w:space="0" w:color="auto"/>
        <w:bottom w:val="none" w:sz="0" w:space="0" w:color="auto"/>
        <w:right w:val="none" w:sz="0" w:space="0" w:color="auto"/>
      </w:divBdr>
    </w:div>
    <w:div w:id="1182163171">
      <w:bodyDiv w:val="1"/>
      <w:marLeft w:val="0"/>
      <w:marRight w:val="0"/>
      <w:marTop w:val="0"/>
      <w:marBottom w:val="0"/>
      <w:divBdr>
        <w:top w:val="none" w:sz="0" w:space="0" w:color="auto"/>
        <w:left w:val="none" w:sz="0" w:space="0" w:color="auto"/>
        <w:bottom w:val="none" w:sz="0" w:space="0" w:color="auto"/>
        <w:right w:val="none" w:sz="0" w:space="0" w:color="auto"/>
      </w:divBdr>
    </w:div>
    <w:div w:id="1285503157">
      <w:bodyDiv w:val="1"/>
      <w:marLeft w:val="0"/>
      <w:marRight w:val="0"/>
      <w:marTop w:val="0"/>
      <w:marBottom w:val="0"/>
      <w:divBdr>
        <w:top w:val="none" w:sz="0" w:space="0" w:color="auto"/>
        <w:left w:val="none" w:sz="0" w:space="0" w:color="auto"/>
        <w:bottom w:val="none" w:sz="0" w:space="0" w:color="auto"/>
        <w:right w:val="none" w:sz="0" w:space="0" w:color="auto"/>
      </w:divBdr>
    </w:div>
    <w:div w:id="1340426095">
      <w:bodyDiv w:val="1"/>
      <w:marLeft w:val="0"/>
      <w:marRight w:val="0"/>
      <w:marTop w:val="0"/>
      <w:marBottom w:val="0"/>
      <w:divBdr>
        <w:top w:val="none" w:sz="0" w:space="0" w:color="auto"/>
        <w:left w:val="none" w:sz="0" w:space="0" w:color="auto"/>
        <w:bottom w:val="none" w:sz="0" w:space="0" w:color="auto"/>
        <w:right w:val="none" w:sz="0" w:space="0" w:color="auto"/>
      </w:divBdr>
    </w:div>
    <w:div w:id="1341734398">
      <w:bodyDiv w:val="1"/>
      <w:marLeft w:val="0"/>
      <w:marRight w:val="0"/>
      <w:marTop w:val="0"/>
      <w:marBottom w:val="0"/>
      <w:divBdr>
        <w:top w:val="none" w:sz="0" w:space="0" w:color="auto"/>
        <w:left w:val="none" w:sz="0" w:space="0" w:color="auto"/>
        <w:bottom w:val="none" w:sz="0" w:space="0" w:color="auto"/>
        <w:right w:val="none" w:sz="0" w:space="0" w:color="auto"/>
      </w:divBdr>
    </w:div>
    <w:div w:id="1373193486">
      <w:bodyDiv w:val="1"/>
      <w:marLeft w:val="0"/>
      <w:marRight w:val="0"/>
      <w:marTop w:val="0"/>
      <w:marBottom w:val="0"/>
      <w:divBdr>
        <w:top w:val="none" w:sz="0" w:space="0" w:color="auto"/>
        <w:left w:val="none" w:sz="0" w:space="0" w:color="auto"/>
        <w:bottom w:val="none" w:sz="0" w:space="0" w:color="auto"/>
        <w:right w:val="none" w:sz="0" w:space="0" w:color="auto"/>
      </w:divBdr>
    </w:div>
    <w:div w:id="1529177282">
      <w:bodyDiv w:val="1"/>
      <w:marLeft w:val="0"/>
      <w:marRight w:val="0"/>
      <w:marTop w:val="0"/>
      <w:marBottom w:val="0"/>
      <w:divBdr>
        <w:top w:val="none" w:sz="0" w:space="0" w:color="auto"/>
        <w:left w:val="none" w:sz="0" w:space="0" w:color="auto"/>
        <w:bottom w:val="none" w:sz="0" w:space="0" w:color="auto"/>
        <w:right w:val="none" w:sz="0" w:space="0" w:color="auto"/>
      </w:divBdr>
    </w:div>
    <w:div w:id="1638685921">
      <w:bodyDiv w:val="1"/>
      <w:marLeft w:val="0"/>
      <w:marRight w:val="0"/>
      <w:marTop w:val="0"/>
      <w:marBottom w:val="0"/>
      <w:divBdr>
        <w:top w:val="none" w:sz="0" w:space="0" w:color="auto"/>
        <w:left w:val="none" w:sz="0" w:space="0" w:color="auto"/>
        <w:bottom w:val="none" w:sz="0" w:space="0" w:color="auto"/>
        <w:right w:val="none" w:sz="0" w:space="0" w:color="auto"/>
      </w:divBdr>
    </w:div>
    <w:div w:id="1749644161">
      <w:bodyDiv w:val="1"/>
      <w:marLeft w:val="0"/>
      <w:marRight w:val="0"/>
      <w:marTop w:val="0"/>
      <w:marBottom w:val="0"/>
      <w:divBdr>
        <w:top w:val="none" w:sz="0" w:space="0" w:color="auto"/>
        <w:left w:val="none" w:sz="0" w:space="0" w:color="auto"/>
        <w:bottom w:val="none" w:sz="0" w:space="0" w:color="auto"/>
        <w:right w:val="none" w:sz="0" w:space="0" w:color="auto"/>
      </w:divBdr>
    </w:div>
    <w:div w:id="1857424561">
      <w:bodyDiv w:val="1"/>
      <w:marLeft w:val="0"/>
      <w:marRight w:val="0"/>
      <w:marTop w:val="0"/>
      <w:marBottom w:val="0"/>
      <w:divBdr>
        <w:top w:val="none" w:sz="0" w:space="0" w:color="auto"/>
        <w:left w:val="none" w:sz="0" w:space="0" w:color="auto"/>
        <w:bottom w:val="none" w:sz="0" w:space="0" w:color="auto"/>
        <w:right w:val="none" w:sz="0" w:space="0" w:color="auto"/>
      </w:divBdr>
    </w:div>
    <w:div w:id="1879318522">
      <w:bodyDiv w:val="1"/>
      <w:marLeft w:val="0"/>
      <w:marRight w:val="0"/>
      <w:marTop w:val="0"/>
      <w:marBottom w:val="0"/>
      <w:divBdr>
        <w:top w:val="none" w:sz="0" w:space="0" w:color="auto"/>
        <w:left w:val="none" w:sz="0" w:space="0" w:color="auto"/>
        <w:bottom w:val="none" w:sz="0" w:space="0" w:color="auto"/>
        <w:right w:val="none" w:sz="0" w:space="0" w:color="auto"/>
      </w:divBdr>
    </w:div>
    <w:div w:id="1885143142">
      <w:bodyDiv w:val="1"/>
      <w:marLeft w:val="0"/>
      <w:marRight w:val="0"/>
      <w:marTop w:val="0"/>
      <w:marBottom w:val="0"/>
      <w:divBdr>
        <w:top w:val="none" w:sz="0" w:space="0" w:color="auto"/>
        <w:left w:val="none" w:sz="0" w:space="0" w:color="auto"/>
        <w:bottom w:val="none" w:sz="0" w:space="0" w:color="auto"/>
        <w:right w:val="none" w:sz="0" w:space="0" w:color="auto"/>
      </w:divBdr>
    </w:div>
    <w:div w:id="1948848350">
      <w:bodyDiv w:val="1"/>
      <w:marLeft w:val="0"/>
      <w:marRight w:val="0"/>
      <w:marTop w:val="0"/>
      <w:marBottom w:val="0"/>
      <w:divBdr>
        <w:top w:val="none" w:sz="0" w:space="0" w:color="auto"/>
        <w:left w:val="none" w:sz="0" w:space="0" w:color="auto"/>
        <w:bottom w:val="none" w:sz="0" w:space="0" w:color="auto"/>
        <w:right w:val="none" w:sz="0" w:space="0" w:color="auto"/>
      </w:divBdr>
    </w:div>
    <w:div w:id="21032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hyperlink" Target="http://www.fundacionbot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DE814-0886-482B-83B6-D11A2597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1424</Words>
  <Characters>7835</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9241</CharactersWithSpaces>
  <SharedDoc>false</SharedDoc>
  <HLinks>
    <vt:vector size="12" baseType="variant">
      <vt:variant>
        <vt:i4>4915310</vt:i4>
      </vt:variant>
      <vt:variant>
        <vt:i4>3</vt:i4>
      </vt:variant>
      <vt:variant>
        <vt:i4>0</vt:i4>
      </vt:variant>
      <vt:variant>
        <vt:i4>5</vt:i4>
      </vt:variant>
      <vt:variant>
        <vt:lpwstr>mailto:mcagigas@fundacionbotin.org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nmartinez</dc:creator>
  <cp:lastModifiedBy>Bruno Sánchez- Briñas</cp:lastModifiedBy>
  <cp:revision>2</cp:revision>
  <cp:lastPrinted>2017-10-03T13:08:00Z</cp:lastPrinted>
  <dcterms:created xsi:type="dcterms:W3CDTF">2017-10-05T17:26:00Z</dcterms:created>
  <dcterms:modified xsi:type="dcterms:W3CDTF">2017-10-05T17:26:00Z</dcterms:modified>
</cp:coreProperties>
</file>